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3217"/>
        <w:gridCol w:w="5956"/>
      </w:tblGrid>
      <w:tr w:rsidR="00FE74E6" w:rsidRPr="00D020D3" w:rsidTr="00046998">
        <w:tc>
          <w:tcPr>
            <w:tcW w:w="3217" w:type="dxa"/>
          </w:tcPr>
          <w:p w:rsidR="00FE74E6" w:rsidRPr="00D020D3" w:rsidRDefault="00FE74E6" w:rsidP="00046998">
            <w:pPr>
              <w:spacing w:after="120"/>
              <w:ind w:right="23"/>
              <w:rPr>
                <w:rFonts w:cs="Arial"/>
                <w:b/>
                <w:sz w:val="24"/>
                <w:szCs w:val="24"/>
              </w:rPr>
            </w:pPr>
            <w:r w:rsidRPr="00D020D3">
              <w:rPr>
                <w:noProof/>
              </w:rPr>
              <w:drawing>
                <wp:inline distT="0" distB="0" distL="0" distR="0" wp14:anchorId="5103CBA2" wp14:editId="19A7F69F">
                  <wp:extent cx="1709056" cy="653143"/>
                  <wp:effectExtent l="0" t="0" r="571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708030" cy="652751"/>
                          </a:xfrm>
                          <a:prstGeom prst="rect">
                            <a:avLst/>
                          </a:prstGeom>
                        </pic:spPr>
                      </pic:pic>
                    </a:graphicData>
                  </a:graphic>
                </wp:inline>
              </w:drawing>
            </w:r>
          </w:p>
        </w:tc>
        <w:tc>
          <w:tcPr>
            <w:tcW w:w="5956" w:type="dxa"/>
          </w:tcPr>
          <w:p w:rsidR="00FE74E6" w:rsidRPr="00D020D3" w:rsidRDefault="00FE74E6" w:rsidP="00046998">
            <w:pPr>
              <w:spacing w:after="120"/>
              <w:ind w:right="23"/>
              <w:jc w:val="right"/>
              <w:rPr>
                <w:rFonts w:cs="Arial"/>
                <w:sz w:val="24"/>
                <w:szCs w:val="24"/>
              </w:rPr>
            </w:pPr>
            <w:r w:rsidRPr="00D020D3">
              <w:rPr>
                <w:rFonts w:cs="Arial"/>
                <w:noProof/>
                <w:sz w:val="24"/>
                <w:szCs w:val="24"/>
              </w:rPr>
              <w:drawing>
                <wp:inline distT="0" distB="0" distL="0" distR="0" wp14:anchorId="5BACF366" wp14:editId="15026E64">
                  <wp:extent cx="8096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_blue_rgb_small.jpg"/>
                          <pic:cNvPicPr/>
                        </pic:nvPicPr>
                        <pic:blipFill>
                          <a:blip r:embed="rId8">
                            <a:extLst>
                              <a:ext uri="{28A0092B-C50C-407E-A947-70E740481C1C}">
                                <a14:useLocalDpi xmlns:a14="http://schemas.microsoft.com/office/drawing/2010/main" val="0"/>
                              </a:ext>
                            </a:extLst>
                          </a:blip>
                          <a:stretch>
                            <a:fillRect/>
                          </a:stretch>
                        </pic:blipFill>
                        <pic:spPr>
                          <a:xfrm>
                            <a:off x="0" y="0"/>
                            <a:ext cx="809625" cy="742950"/>
                          </a:xfrm>
                          <a:prstGeom prst="rect">
                            <a:avLst/>
                          </a:prstGeom>
                        </pic:spPr>
                      </pic:pic>
                    </a:graphicData>
                  </a:graphic>
                </wp:inline>
              </w:drawing>
            </w:r>
          </w:p>
        </w:tc>
      </w:tr>
      <w:tr w:rsidR="00FE74E6" w:rsidRPr="00D020D3" w:rsidTr="00046998">
        <w:tc>
          <w:tcPr>
            <w:tcW w:w="9173" w:type="dxa"/>
            <w:gridSpan w:val="2"/>
          </w:tcPr>
          <w:p w:rsidR="009A4AB8" w:rsidRPr="00D020D3" w:rsidRDefault="009A4AB8" w:rsidP="009A4AB8">
            <w:pPr>
              <w:ind w:right="22"/>
              <w:jc w:val="center"/>
              <w:rPr>
                <w:rFonts w:ascii="Arial" w:hAnsi="Arial" w:cs="Arial"/>
                <w:b/>
                <w:sz w:val="28"/>
                <w:szCs w:val="28"/>
              </w:rPr>
            </w:pPr>
            <w:r w:rsidRPr="00D020D3">
              <w:rPr>
                <w:rFonts w:ascii="Arial" w:hAnsi="Arial" w:cs="Arial"/>
                <w:b/>
                <w:sz w:val="28"/>
                <w:szCs w:val="28"/>
              </w:rPr>
              <w:t>PANEL ASSESSMENT BRIEFING REPORT</w:t>
            </w:r>
          </w:p>
          <w:p w:rsidR="00FE74E6" w:rsidRPr="00D020D3" w:rsidRDefault="000B4022" w:rsidP="009A4AB8">
            <w:pPr>
              <w:ind w:right="22"/>
              <w:jc w:val="center"/>
              <w:rPr>
                <w:rFonts w:ascii="Arial" w:hAnsi="Arial" w:cs="Arial"/>
                <w:sz w:val="24"/>
                <w:szCs w:val="24"/>
              </w:rPr>
            </w:pPr>
            <w:sdt>
              <w:sdtPr>
                <w:rPr>
                  <w:rFonts w:ascii="Arial" w:hAnsi="Arial" w:cs="Arial"/>
                  <w:sz w:val="24"/>
                  <w:szCs w:val="24"/>
                </w:rPr>
                <w:id w:val="3866020"/>
                <w:placeholder>
                  <w:docPart w:val="3E2DE16798804DFA8E7F57B76E145FAF"/>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9A4AB8" w:rsidRPr="00D020D3">
                  <w:rPr>
                    <w:rFonts w:ascii="Arial" w:hAnsi="Arial" w:cs="Arial"/>
                    <w:sz w:val="24"/>
                    <w:szCs w:val="24"/>
                  </w:rPr>
                  <w:t>HUNTER AND CENTRAL COAST REGIONAL</w:t>
                </w:r>
              </w:sdtContent>
            </w:sdt>
            <w:r w:rsidR="009A4AB8" w:rsidRPr="00D020D3">
              <w:rPr>
                <w:rFonts w:ascii="Arial" w:hAnsi="Arial" w:cs="Arial"/>
                <w:sz w:val="24"/>
                <w:szCs w:val="24"/>
              </w:rPr>
              <w:t xml:space="preserve"> PLANNING PANEL</w:t>
            </w:r>
          </w:p>
        </w:tc>
      </w:tr>
    </w:tbl>
    <w:p w:rsidR="00FE74E6" w:rsidRPr="00D020D3" w:rsidRDefault="00FE74E6" w:rsidP="00FE74E6">
      <w:pPr>
        <w:tabs>
          <w:tab w:val="left" w:pos="6558"/>
        </w:tabs>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PANEL REFERENCE &amp; DA NUMBER</w:t>
            </w:r>
          </w:p>
        </w:tc>
        <w:tc>
          <w:tcPr>
            <w:tcW w:w="3393" w:type="pct"/>
            <w:vAlign w:val="center"/>
          </w:tcPr>
          <w:p w:rsidR="00F3044C" w:rsidRPr="00D020D3" w:rsidRDefault="00F3044C"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PPSHCC-172</w:t>
            </w:r>
          </w:p>
          <w:p w:rsidR="00FE74E6" w:rsidRPr="00D020D3" w:rsidRDefault="00FE74E6"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DA/2087/2018</w:t>
            </w:r>
            <w:r w:rsidR="006D456E" w:rsidRPr="00D020D3">
              <w:rPr>
                <w:rFonts w:ascii="Arial" w:hAnsi="Arial" w:cs="Arial"/>
                <w:color w:val="auto"/>
                <w:sz w:val="22"/>
                <w:szCs w:val="22"/>
                <w:lang w:val="en-AU"/>
              </w:rPr>
              <w:t>/REV</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 xml:space="preserve">PROPOSAL </w:t>
            </w:r>
          </w:p>
        </w:tc>
        <w:tc>
          <w:tcPr>
            <w:tcW w:w="3393" w:type="pct"/>
            <w:vAlign w:val="center"/>
          </w:tcPr>
          <w:p w:rsidR="00FE74E6" w:rsidRPr="00D020D3" w:rsidRDefault="00CE5E2C"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3 into 1,079 Lot Torrens Title Subdivision</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ADDRESS</w:t>
            </w:r>
          </w:p>
        </w:tc>
        <w:tc>
          <w:tcPr>
            <w:tcW w:w="3393" w:type="pct"/>
            <w:shd w:val="clear" w:color="auto" w:fill="auto"/>
            <w:vAlign w:val="center"/>
          </w:tcPr>
          <w:p w:rsidR="003D6B4C" w:rsidRPr="00D020D3" w:rsidRDefault="003D6B4C" w:rsidP="003D6B4C">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Lot 2 DP 877349, Lot 1 DP 1156243, Lot 100 DP 1252590 and Lot 22 DP 816113</w:t>
            </w:r>
          </w:p>
          <w:p w:rsidR="00FE74E6" w:rsidRPr="00D020D3" w:rsidRDefault="003D6B4C" w:rsidP="003D6B4C">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 xml:space="preserve">10 </w:t>
            </w:r>
            <w:r w:rsidR="00FE74E6" w:rsidRPr="00D020D3">
              <w:rPr>
                <w:rFonts w:ascii="Arial" w:hAnsi="Arial" w:cs="Arial"/>
                <w:color w:val="auto"/>
                <w:sz w:val="22"/>
                <w:szCs w:val="22"/>
                <w:lang w:val="en-AU"/>
              </w:rPr>
              <w:t>and 10C Woodford Street, Cameron Park</w:t>
            </w:r>
          </w:p>
          <w:p w:rsidR="00FE74E6" w:rsidRPr="00D020D3" w:rsidRDefault="00FE74E6" w:rsidP="00046998">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M1 Pacific Motorway, Lake Macquarie</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APPLICANT</w:t>
            </w:r>
          </w:p>
        </w:tc>
        <w:tc>
          <w:tcPr>
            <w:tcW w:w="3393" w:type="pct"/>
            <w:vAlign w:val="center"/>
          </w:tcPr>
          <w:p w:rsidR="00FE74E6" w:rsidRPr="00D020D3" w:rsidRDefault="00FE74E6" w:rsidP="00046998">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Winten (No 21) Pty Ltd</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OWNER</w:t>
            </w:r>
          </w:p>
        </w:tc>
        <w:tc>
          <w:tcPr>
            <w:tcW w:w="3393" w:type="pct"/>
            <w:vAlign w:val="center"/>
          </w:tcPr>
          <w:p w:rsidR="00FE74E6" w:rsidRPr="00D020D3" w:rsidRDefault="00FE74E6" w:rsidP="00046998">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Winten (No 21) Pty Ltd</w:t>
            </w:r>
          </w:p>
          <w:p w:rsidR="00FE74E6" w:rsidRPr="00D020D3" w:rsidRDefault="00FE74E6" w:rsidP="00046998">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Transport for NSW</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DA LODGEMENT DATE</w:t>
            </w:r>
          </w:p>
        </w:tc>
        <w:tc>
          <w:tcPr>
            <w:tcW w:w="3393" w:type="pct"/>
            <w:vAlign w:val="center"/>
          </w:tcPr>
          <w:p w:rsidR="00FE74E6" w:rsidRPr="00D020D3" w:rsidRDefault="00FE74E6" w:rsidP="00046998">
            <w:pPr>
              <w:spacing w:before="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22 November 2018</w:t>
            </w:r>
          </w:p>
        </w:tc>
      </w:tr>
      <w:tr w:rsidR="003D6B4C"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3D6B4C" w:rsidRPr="00D020D3" w:rsidRDefault="003D6B4C" w:rsidP="003D6B4C">
            <w:r w:rsidRPr="00D020D3">
              <w:rPr>
                <w:rFonts w:ascii="Arial" w:hAnsi="Arial" w:cs="Arial"/>
                <w:color w:val="auto"/>
                <w:sz w:val="22"/>
                <w:szCs w:val="22"/>
              </w:rPr>
              <w:t>REVIEW LODGEMENT DATE</w:t>
            </w:r>
          </w:p>
        </w:tc>
        <w:tc>
          <w:tcPr>
            <w:tcW w:w="3393" w:type="pct"/>
            <w:vAlign w:val="center"/>
          </w:tcPr>
          <w:p w:rsidR="003D6B4C" w:rsidRPr="00D020D3" w:rsidRDefault="003D6B4C" w:rsidP="003D6B4C">
            <w:pPr>
              <w:cnfStyle w:val="000000000000" w:firstRow="0" w:lastRow="0" w:firstColumn="0" w:lastColumn="0" w:oddVBand="0" w:evenVBand="0" w:oddHBand="0" w:evenHBand="0" w:firstRowFirstColumn="0" w:firstRowLastColumn="0" w:lastRowFirstColumn="0" w:lastRowLastColumn="0"/>
            </w:pPr>
            <w:r w:rsidRPr="00D020D3">
              <w:rPr>
                <w:rFonts w:ascii="Arial" w:hAnsi="Arial" w:cs="Arial"/>
                <w:color w:val="auto"/>
                <w:sz w:val="22"/>
                <w:szCs w:val="22"/>
              </w:rPr>
              <w:t>2 February 2023</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REGIONALLY SIGNIFICANT CRITERIA</w:t>
            </w:r>
          </w:p>
        </w:tc>
        <w:tc>
          <w:tcPr>
            <w:tcW w:w="3393" w:type="pct"/>
            <w:vAlign w:val="center"/>
          </w:tcPr>
          <w:p w:rsidR="00FE74E6" w:rsidRPr="00D020D3" w:rsidRDefault="00FE74E6"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D020D3">
              <w:rPr>
                <w:rFonts w:ascii="Arial" w:hAnsi="Arial" w:cs="Arial"/>
                <w:color w:val="auto"/>
                <w:sz w:val="22"/>
                <w:szCs w:val="22"/>
                <w:lang w:val="en-AU"/>
              </w:rPr>
              <w:t>Clause 2, Schedule 7 of the SRD SEPP – General development over $30 million</w:t>
            </w:r>
            <w:r w:rsidRPr="00D020D3">
              <w:rPr>
                <w:rFonts w:ascii="Arial" w:hAnsi="Arial" w:cs="Arial"/>
                <w:color w:val="FF0000"/>
                <w:sz w:val="22"/>
                <w:szCs w:val="22"/>
                <w:lang w:val="en-AU"/>
              </w:rPr>
              <w:t xml:space="preserve"> </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CIV</w:t>
            </w:r>
          </w:p>
        </w:tc>
        <w:tc>
          <w:tcPr>
            <w:tcW w:w="3393" w:type="pct"/>
            <w:vAlign w:val="center"/>
          </w:tcPr>
          <w:p w:rsidR="00FE74E6" w:rsidRPr="00D020D3" w:rsidRDefault="00FE74E6"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$116 million (excluding GST)</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 xml:space="preserve">TOTAL &amp; UNIQUE SUBMISSIONS  </w:t>
            </w:r>
          </w:p>
        </w:tc>
        <w:tc>
          <w:tcPr>
            <w:tcW w:w="3393" w:type="pct"/>
            <w:shd w:val="clear" w:color="auto" w:fill="auto"/>
            <w:vAlign w:val="center"/>
          </w:tcPr>
          <w:p w:rsidR="00FE74E6" w:rsidRPr="00D020D3" w:rsidRDefault="00035CAB" w:rsidP="00046998">
            <w:pPr>
              <w:tabs>
                <w:tab w:val="left" w:pos="7485"/>
              </w:tabs>
              <w:spacing w:before="0"/>
              <w:ind w:right="2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Notification</w:t>
            </w:r>
            <w:r w:rsidR="003D6B4C" w:rsidRPr="00D020D3">
              <w:rPr>
                <w:rFonts w:ascii="Arial" w:hAnsi="Arial" w:cs="Arial"/>
                <w:color w:val="auto"/>
                <w:sz w:val="22"/>
                <w:szCs w:val="22"/>
              </w:rPr>
              <w:t xml:space="preserve"> under the original application:</w:t>
            </w:r>
          </w:p>
          <w:p w:rsidR="00FE74E6" w:rsidRPr="00D020D3" w:rsidRDefault="00FE74E6" w:rsidP="00DA57D7">
            <w:pPr>
              <w:pStyle w:val="ListParagraph"/>
              <w:numPr>
                <w:ilvl w:val="0"/>
                <w:numId w:val="8"/>
              </w:numPr>
              <w:spacing w:before="0" w:after="1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5 December 2018 – 14 January 2019</w:t>
            </w:r>
          </w:p>
          <w:p w:rsidR="00FE74E6" w:rsidRPr="00D020D3" w:rsidRDefault="00FE74E6" w:rsidP="00DA57D7">
            <w:pPr>
              <w:pStyle w:val="ListParagraph"/>
              <w:numPr>
                <w:ilvl w:val="0"/>
                <w:numId w:val="8"/>
              </w:numPr>
              <w:spacing w:before="0" w:after="1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6 October 2020 – 26 October 2020</w:t>
            </w:r>
          </w:p>
          <w:p w:rsidR="00FE74E6" w:rsidRPr="00D020D3" w:rsidRDefault="00FE74E6" w:rsidP="00DA57D7">
            <w:pPr>
              <w:pStyle w:val="ListParagraph"/>
              <w:numPr>
                <w:ilvl w:val="0"/>
                <w:numId w:val="8"/>
              </w:numPr>
              <w:spacing w:before="0" w:after="1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30 July 2021 – 20 August 2021</w:t>
            </w:r>
          </w:p>
          <w:p w:rsidR="00613700" w:rsidRPr="00D020D3" w:rsidRDefault="00613700" w:rsidP="00DA57D7">
            <w:pPr>
              <w:pStyle w:val="ListParagraph"/>
              <w:numPr>
                <w:ilvl w:val="0"/>
                <w:numId w:val="8"/>
              </w:numPr>
              <w:spacing w:before="0" w:after="1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bookmarkStart w:id="0" w:name="_Hlk106981801"/>
            <w:r w:rsidRPr="00D020D3">
              <w:rPr>
                <w:rFonts w:ascii="Arial" w:hAnsi="Arial" w:cs="Arial"/>
                <w:color w:val="auto"/>
                <w:sz w:val="22"/>
                <w:szCs w:val="22"/>
              </w:rPr>
              <w:t>3 June 2022 – 28 June 2022</w:t>
            </w:r>
          </w:p>
          <w:p w:rsidR="003D6B4C" w:rsidRPr="00D020D3" w:rsidRDefault="00035CAB" w:rsidP="003D6B4C">
            <w:pPr>
              <w:tabs>
                <w:tab w:val="left" w:pos="7485"/>
              </w:tabs>
              <w:spacing w:before="0"/>
              <w:ind w:right="2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Notification</w:t>
            </w:r>
            <w:r w:rsidR="003D6B4C" w:rsidRPr="00D020D3">
              <w:rPr>
                <w:rFonts w:ascii="Arial" w:hAnsi="Arial" w:cs="Arial"/>
                <w:color w:val="auto"/>
                <w:sz w:val="22"/>
                <w:szCs w:val="22"/>
              </w:rPr>
              <w:t xml:space="preserve"> under the review application:</w:t>
            </w:r>
          </w:p>
          <w:p w:rsidR="003D6B4C" w:rsidRPr="00D020D3" w:rsidRDefault="003D6B4C" w:rsidP="00DA57D7">
            <w:pPr>
              <w:pStyle w:val="ListParagraph"/>
              <w:numPr>
                <w:ilvl w:val="0"/>
                <w:numId w:val="8"/>
              </w:numPr>
              <w:spacing w:before="0" w:after="160" w:line="240" w:lineRule="auto"/>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6 February 2023 – 28 February 2023</w:t>
            </w:r>
          </w:p>
          <w:p w:rsidR="00A471D5" w:rsidRPr="00D020D3" w:rsidRDefault="00FE74E6"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 xml:space="preserve">Council have received </w:t>
            </w:r>
            <w:r w:rsidR="00F62AFD">
              <w:rPr>
                <w:rFonts w:ascii="Arial" w:hAnsi="Arial" w:cs="Arial"/>
                <w:color w:val="auto"/>
                <w:sz w:val="22"/>
                <w:szCs w:val="22"/>
              </w:rPr>
              <w:t>eight</w:t>
            </w:r>
            <w:r w:rsidRPr="00D020D3">
              <w:rPr>
                <w:rFonts w:ascii="Arial" w:hAnsi="Arial" w:cs="Arial"/>
                <w:color w:val="auto"/>
                <w:sz w:val="22"/>
                <w:szCs w:val="22"/>
              </w:rPr>
              <w:t xml:space="preserve"> unique objections</w:t>
            </w:r>
            <w:bookmarkEnd w:id="0"/>
            <w:r w:rsidR="003D6B4C" w:rsidRPr="00D020D3">
              <w:rPr>
                <w:rFonts w:ascii="Arial" w:hAnsi="Arial" w:cs="Arial"/>
                <w:color w:val="auto"/>
                <w:sz w:val="22"/>
                <w:szCs w:val="22"/>
              </w:rPr>
              <w:t xml:space="preserve"> to the original rounds of notification. </w:t>
            </w:r>
          </w:p>
          <w:p w:rsidR="003D6B4C" w:rsidRPr="00D020D3" w:rsidRDefault="003D6B4C" w:rsidP="00046998">
            <w:pPr>
              <w:tabs>
                <w:tab w:val="left" w:pos="7485"/>
              </w:tabs>
              <w:spacing w:before="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lastRenderedPageBreak/>
              <w:t xml:space="preserve">One objection was received in response to </w:t>
            </w:r>
            <w:r w:rsidR="00551CAC" w:rsidRPr="00D020D3">
              <w:rPr>
                <w:rFonts w:ascii="Arial" w:hAnsi="Arial" w:cs="Arial"/>
                <w:color w:val="auto"/>
                <w:sz w:val="22"/>
                <w:szCs w:val="22"/>
              </w:rPr>
              <w:t>the recent notification under the review.</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lastRenderedPageBreak/>
              <w:t>PREVIOUS BRIEFINGS</w:t>
            </w:r>
          </w:p>
        </w:tc>
        <w:tc>
          <w:tcPr>
            <w:tcW w:w="3393" w:type="pct"/>
            <w:vAlign w:val="center"/>
          </w:tcPr>
          <w:p w:rsidR="00C5254E" w:rsidRPr="00D020D3" w:rsidRDefault="00035CAB" w:rsidP="00C5254E">
            <w:pPr>
              <w:cnfStyle w:val="000000000000" w:firstRow="0" w:lastRow="0" w:firstColumn="0" w:lastColumn="0" w:oddVBand="0" w:evenVBand="0" w:oddHBand="0" w:evenHBand="0" w:firstRowFirstColumn="0" w:firstRowLastColumn="0" w:lastRowFirstColumn="0" w:lastRowLastColumn="0"/>
            </w:pPr>
            <w:r w:rsidRPr="00D020D3">
              <w:rPr>
                <w:rFonts w:ascii="Arial" w:hAnsi="Arial" w:cs="Arial"/>
                <w:color w:val="auto"/>
                <w:sz w:val="22"/>
                <w:szCs w:val="22"/>
              </w:rPr>
              <w:t>Briefings held for the original application:</w:t>
            </w:r>
          </w:p>
          <w:p w:rsidR="00FE74E6" w:rsidRPr="00D020D3" w:rsidRDefault="00FE74E6" w:rsidP="00DA57D7">
            <w:pPr>
              <w:pStyle w:val="ListParagraph"/>
              <w:numPr>
                <w:ilvl w:val="0"/>
                <w:numId w:val="10"/>
              </w:numPr>
              <w:tabs>
                <w:tab w:val="left" w:pos="7485"/>
              </w:tabs>
              <w:spacing w:before="0" w:after="160" w:line="240" w:lineRule="auto"/>
              <w:ind w:left="271" w:right="2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21 August 2019</w:t>
            </w:r>
          </w:p>
          <w:p w:rsidR="00FE74E6" w:rsidRPr="00D020D3" w:rsidRDefault="00FE74E6" w:rsidP="00DA57D7">
            <w:pPr>
              <w:pStyle w:val="ListParagraph"/>
              <w:numPr>
                <w:ilvl w:val="0"/>
                <w:numId w:val="10"/>
              </w:numPr>
              <w:tabs>
                <w:tab w:val="left" w:pos="7485"/>
              </w:tabs>
              <w:spacing w:before="0" w:after="160" w:line="240" w:lineRule="auto"/>
              <w:ind w:left="271" w:right="2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11 August 2021</w:t>
            </w:r>
          </w:p>
          <w:p w:rsidR="00613700" w:rsidRPr="00D020D3" w:rsidRDefault="00613700" w:rsidP="00DA57D7">
            <w:pPr>
              <w:pStyle w:val="ListParagraph"/>
              <w:numPr>
                <w:ilvl w:val="0"/>
                <w:numId w:val="10"/>
              </w:numPr>
              <w:tabs>
                <w:tab w:val="left" w:pos="7485"/>
              </w:tabs>
              <w:spacing w:before="0" w:after="160" w:line="240" w:lineRule="auto"/>
              <w:ind w:left="271" w:right="2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1 December 2021</w:t>
            </w:r>
          </w:p>
          <w:p w:rsidR="00613700" w:rsidRPr="00D020D3" w:rsidRDefault="00613700" w:rsidP="00DA57D7">
            <w:pPr>
              <w:pStyle w:val="ListParagraph"/>
              <w:numPr>
                <w:ilvl w:val="0"/>
                <w:numId w:val="10"/>
              </w:numPr>
              <w:tabs>
                <w:tab w:val="left" w:pos="7485"/>
              </w:tabs>
              <w:spacing w:before="0" w:after="160" w:line="240" w:lineRule="auto"/>
              <w:ind w:left="271" w:right="23"/>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26 April 2022</w:t>
            </w:r>
          </w:p>
          <w:p w:rsidR="00035CAB" w:rsidRPr="00D020D3" w:rsidRDefault="00035CAB" w:rsidP="00035CAB">
            <w:pPr>
              <w:tabs>
                <w:tab w:val="left" w:pos="7485"/>
              </w:tabs>
              <w:spacing w:line="240" w:lineRule="auto"/>
              <w:ind w:right="23"/>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020D3">
              <w:rPr>
                <w:rFonts w:ascii="Arial" w:hAnsi="Arial" w:cs="Arial"/>
                <w:color w:val="auto"/>
                <w:sz w:val="22"/>
                <w:szCs w:val="22"/>
              </w:rPr>
              <w:t>This meeting will be the first briefing held with respect to the review application.</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KEY ISSUES</w:t>
            </w:r>
          </w:p>
        </w:tc>
        <w:tc>
          <w:tcPr>
            <w:tcW w:w="3393" w:type="pct"/>
            <w:vAlign w:val="center"/>
          </w:tcPr>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Biodiversity</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Traffic and transport</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Contamination</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Mine subsidence</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Earthworks</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roofErr w:type="spellStart"/>
            <w:r w:rsidRPr="00456E59">
              <w:rPr>
                <w:rFonts w:ascii="Arial" w:hAnsi="Arial" w:cs="Arial"/>
                <w:color w:val="auto"/>
                <w:sz w:val="22"/>
                <w:szCs w:val="22"/>
              </w:rPr>
              <w:t>Odour</w:t>
            </w:r>
            <w:proofErr w:type="spellEnd"/>
            <w:r w:rsidRPr="00456E59">
              <w:rPr>
                <w:rFonts w:ascii="Arial" w:hAnsi="Arial" w:cs="Arial"/>
                <w:color w:val="auto"/>
                <w:sz w:val="22"/>
                <w:szCs w:val="22"/>
              </w:rPr>
              <w:t xml:space="preserve"> impacts from Summerhill Waste Management Centre</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Local park design / size</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Residual LMCC land in City of Newcastle</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Waste servicing and Concept Approval</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Bushfire</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Vegetation and Habitat Management Plan</w:t>
            </w:r>
          </w:p>
          <w:p w:rsidR="00456E59"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Acoustic attenuation</w:t>
            </w:r>
          </w:p>
          <w:p w:rsidR="003B13B0" w:rsidRPr="00456E59" w:rsidRDefault="00456E59" w:rsidP="00456E59">
            <w:pPr>
              <w:pStyle w:val="ListParagraph"/>
              <w:numPr>
                <w:ilvl w:val="0"/>
                <w:numId w:val="9"/>
              </w:numPr>
              <w:tabs>
                <w:tab w:val="left" w:pos="7485"/>
              </w:tabs>
              <w:spacing w:before="160" w:after="160" w:line="240" w:lineRule="auto"/>
              <w:ind w:left="357" w:right="23"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VPA</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FE74E6" w:rsidP="00046998">
            <w:pPr>
              <w:spacing w:before="0"/>
              <w:rPr>
                <w:rFonts w:ascii="Arial" w:hAnsi="Arial" w:cs="Arial"/>
                <w:color w:val="auto"/>
              </w:rPr>
            </w:pPr>
            <w:r w:rsidRPr="00D020D3">
              <w:rPr>
                <w:rFonts w:ascii="Arial" w:hAnsi="Arial" w:cs="Arial"/>
                <w:color w:val="auto"/>
                <w:sz w:val="22"/>
                <w:szCs w:val="22"/>
              </w:rPr>
              <w:t>STATUS OF ASSESSMENT</w:t>
            </w:r>
          </w:p>
        </w:tc>
        <w:tc>
          <w:tcPr>
            <w:tcW w:w="3393" w:type="pct"/>
            <w:vAlign w:val="center"/>
          </w:tcPr>
          <w:p w:rsidR="00FE74E6" w:rsidRPr="00D020D3" w:rsidRDefault="006F24C7" w:rsidP="00046998">
            <w:pPr>
              <w:tabs>
                <w:tab w:val="left" w:pos="7485"/>
              </w:tabs>
              <w:spacing w:before="0"/>
              <w:ind w:right="2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Under</w:t>
            </w:r>
            <w:r w:rsidR="00FE74E6" w:rsidRPr="00D020D3">
              <w:rPr>
                <w:rFonts w:ascii="Arial" w:hAnsi="Arial" w:cs="Arial"/>
                <w:color w:val="auto"/>
                <w:sz w:val="22"/>
                <w:szCs w:val="22"/>
              </w:rPr>
              <w:t xml:space="preserve"> </w:t>
            </w:r>
            <w:r w:rsidRPr="00D020D3">
              <w:rPr>
                <w:rFonts w:ascii="Arial" w:hAnsi="Arial" w:cs="Arial"/>
                <w:color w:val="auto"/>
                <w:sz w:val="22"/>
                <w:szCs w:val="22"/>
              </w:rPr>
              <w:t>assessment</w:t>
            </w:r>
          </w:p>
        </w:tc>
      </w:tr>
      <w:tr w:rsidR="00FE74E6" w:rsidRPr="00D020D3"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rsidR="00FE74E6" w:rsidRPr="00D020D3" w:rsidRDefault="006F24C7" w:rsidP="00046998">
            <w:pPr>
              <w:spacing w:before="0"/>
              <w:rPr>
                <w:rFonts w:ascii="Arial" w:hAnsi="Arial" w:cs="Arial"/>
                <w:color w:val="auto"/>
              </w:rPr>
            </w:pPr>
            <w:r w:rsidRPr="00D020D3">
              <w:rPr>
                <w:rFonts w:ascii="Arial" w:hAnsi="Arial" w:cs="Arial"/>
                <w:color w:val="auto"/>
                <w:sz w:val="22"/>
                <w:szCs w:val="22"/>
              </w:rPr>
              <w:t>PREPARED BY</w:t>
            </w:r>
          </w:p>
        </w:tc>
        <w:tc>
          <w:tcPr>
            <w:tcW w:w="3393" w:type="pct"/>
            <w:vAlign w:val="center"/>
          </w:tcPr>
          <w:p w:rsidR="006F24C7" w:rsidRPr="00D020D3" w:rsidRDefault="009F5B69" w:rsidP="00046998">
            <w:pPr>
              <w:tabs>
                <w:tab w:val="left" w:pos="7485"/>
              </w:tabs>
              <w:ind w:right="23"/>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Jonathan Ford</w:t>
            </w:r>
            <w:r w:rsidR="00FE74E6" w:rsidRPr="00D020D3">
              <w:rPr>
                <w:rFonts w:ascii="Arial" w:hAnsi="Arial" w:cs="Arial"/>
                <w:color w:val="auto"/>
                <w:sz w:val="22"/>
                <w:szCs w:val="22"/>
              </w:rPr>
              <w:t>, Principal Development Planner</w:t>
            </w:r>
            <w:bookmarkStart w:id="1" w:name="_GoBack"/>
            <w:bookmarkEnd w:id="1"/>
          </w:p>
        </w:tc>
      </w:tr>
    </w:tbl>
    <w:p w:rsidR="00FE74E6" w:rsidRPr="00D020D3" w:rsidRDefault="00FE74E6" w:rsidP="00FE74E6">
      <w:pPr>
        <w:pStyle w:val="Caption"/>
        <w:keepNext/>
        <w:spacing w:after="160"/>
        <w:rPr>
          <w:rFonts w:ascii="Arial" w:hAnsi="Arial" w:cs="Arial"/>
          <w:b/>
          <w:bCs/>
          <w:i w:val="0"/>
          <w:iCs w:val="0"/>
          <w:color w:val="auto"/>
          <w:sz w:val="22"/>
          <w:szCs w:val="22"/>
        </w:rPr>
      </w:pPr>
    </w:p>
    <w:p w:rsidR="00FE74E6" w:rsidRPr="00D020D3" w:rsidRDefault="00FE74E6" w:rsidP="00FE74E6">
      <w:pPr>
        <w:rPr>
          <w:rFonts w:ascii="Arial" w:hAnsi="Arial" w:cs="Arial"/>
          <w:b/>
          <w:bCs/>
        </w:rPr>
      </w:pPr>
      <w:r w:rsidRPr="00D020D3">
        <w:rPr>
          <w:rFonts w:ascii="Arial" w:hAnsi="Arial" w:cs="Arial"/>
          <w:b/>
          <w:bCs/>
          <w:i/>
          <w:iCs/>
        </w:rPr>
        <w:br w:type="page"/>
      </w:r>
    </w:p>
    <w:p w:rsidR="00FE74E6" w:rsidRPr="00D020D3" w:rsidRDefault="00FE74E6" w:rsidP="00DA57D7">
      <w:pPr>
        <w:pStyle w:val="ListParagraph"/>
        <w:numPr>
          <w:ilvl w:val="0"/>
          <w:numId w:val="11"/>
        </w:numPr>
        <w:tabs>
          <w:tab w:val="left" w:pos="7485"/>
        </w:tabs>
        <w:spacing w:after="160" w:line="240" w:lineRule="auto"/>
        <w:ind w:right="23" w:hanging="720"/>
        <w:contextualSpacing w:val="0"/>
        <w:rPr>
          <w:rFonts w:ascii="Arial" w:hAnsi="Arial" w:cs="Arial"/>
          <w:b/>
          <w:lang w:eastAsia="en-AU"/>
        </w:rPr>
      </w:pPr>
      <w:r w:rsidRPr="00D020D3">
        <w:rPr>
          <w:rFonts w:ascii="Arial" w:hAnsi="Arial" w:cs="Arial"/>
          <w:b/>
          <w:lang w:eastAsia="en-AU"/>
        </w:rPr>
        <w:lastRenderedPageBreak/>
        <w:t>T</w:t>
      </w:r>
      <w:r w:rsidR="009A4AB8" w:rsidRPr="00D020D3">
        <w:rPr>
          <w:rFonts w:ascii="Arial" w:hAnsi="Arial" w:cs="Arial"/>
          <w:b/>
          <w:lang w:eastAsia="en-AU"/>
        </w:rPr>
        <w:t>he proposal</w:t>
      </w:r>
    </w:p>
    <w:p w:rsidR="00FE74E6" w:rsidRPr="00D020D3" w:rsidRDefault="00FE74E6" w:rsidP="00FE74E6">
      <w:pPr>
        <w:tabs>
          <w:tab w:val="left" w:pos="7485"/>
        </w:tabs>
        <w:spacing w:line="240" w:lineRule="auto"/>
        <w:ind w:right="23"/>
        <w:rPr>
          <w:rFonts w:ascii="Arial" w:hAnsi="Arial" w:cs="Arial"/>
          <w:bCs/>
          <w:lang w:eastAsia="en-AU"/>
        </w:rPr>
      </w:pPr>
      <w:r w:rsidRPr="00D020D3">
        <w:rPr>
          <w:rFonts w:ascii="Arial" w:hAnsi="Arial" w:cs="Arial"/>
          <w:bCs/>
          <w:lang w:eastAsia="en-AU"/>
        </w:rPr>
        <w:t>The proposal seeks consent for subdivision of two lots into:</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1058 residential lots</w:t>
      </w:r>
    </w:p>
    <w:p w:rsidR="00FE74E6" w:rsidRPr="00D020D3" w:rsidRDefault="00FE74E6" w:rsidP="00FE74E6">
      <w:pPr>
        <w:pStyle w:val="ListParagraph"/>
        <w:tabs>
          <w:tab w:val="left" w:pos="7485"/>
        </w:tabs>
        <w:spacing w:after="160" w:line="240" w:lineRule="auto"/>
        <w:ind w:left="714" w:right="23"/>
        <w:contextualSpacing w:val="0"/>
        <w:rPr>
          <w:rFonts w:ascii="Arial" w:hAnsi="Arial" w:cs="Arial"/>
          <w:bCs/>
          <w:lang w:eastAsia="en-AU"/>
        </w:rPr>
      </w:pPr>
      <w:r w:rsidRPr="00D020D3">
        <w:rPr>
          <w:rFonts w:ascii="Arial" w:hAnsi="Arial" w:cs="Arial"/>
          <w:bCs/>
          <w:lang w:eastAsia="en-AU"/>
        </w:rPr>
        <w:tab/>
        <w:t>Comprising</w:t>
      </w:r>
      <w:r w:rsidRPr="00D020D3">
        <w:rPr>
          <w:rFonts w:ascii="Arial" w:hAnsi="Arial" w:cs="Arial"/>
          <w:bCs/>
          <w:color w:val="000000" w:themeColor="text1"/>
          <w:lang w:eastAsia="en-AU"/>
        </w:rPr>
        <w:t xml:space="preserve"> 938 standard lots ranging from 450m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 xml:space="preserve"> to 1.9 hectares and 120 small lots ranging between 379m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 xml:space="preserve"> and 450m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w:t>
      </w:r>
    </w:p>
    <w:p w:rsidR="00FE74E6" w:rsidRPr="00D020D3" w:rsidRDefault="00582D1B"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4</w:t>
      </w:r>
      <w:r w:rsidR="00FE74E6" w:rsidRPr="00D020D3">
        <w:rPr>
          <w:rFonts w:ascii="Arial" w:hAnsi="Arial" w:cs="Arial"/>
          <w:bCs/>
          <w:lang w:eastAsia="en-AU"/>
        </w:rPr>
        <w:t xml:space="preserve"> future development lots</w:t>
      </w:r>
    </w:p>
    <w:p w:rsidR="00FE74E6" w:rsidRPr="00D020D3" w:rsidRDefault="00FE74E6" w:rsidP="00FE74E6">
      <w:pPr>
        <w:pStyle w:val="ListParagraph"/>
        <w:tabs>
          <w:tab w:val="left" w:pos="7485"/>
        </w:tabs>
        <w:spacing w:after="160" w:line="240" w:lineRule="auto"/>
        <w:ind w:left="714" w:right="23"/>
        <w:contextualSpacing w:val="0"/>
        <w:rPr>
          <w:rFonts w:ascii="Arial" w:hAnsi="Arial" w:cs="Arial"/>
          <w:bCs/>
          <w:color w:val="000000" w:themeColor="text1"/>
          <w:lang w:eastAsia="en-AU"/>
        </w:rPr>
      </w:pPr>
      <w:r w:rsidRPr="00D020D3">
        <w:rPr>
          <w:rFonts w:ascii="Arial" w:hAnsi="Arial" w:cs="Arial"/>
          <w:bCs/>
          <w:color w:val="000000" w:themeColor="text1"/>
          <w:lang w:eastAsia="en-AU"/>
        </w:rPr>
        <w:tab/>
        <w:t>Lots 1736 and 1930 are identified for future residential development.</w:t>
      </w:r>
    </w:p>
    <w:p w:rsidR="00FE74E6" w:rsidRPr="00D020D3" w:rsidRDefault="00FE74E6" w:rsidP="00FE74E6">
      <w:pPr>
        <w:pStyle w:val="ListParagraph"/>
        <w:tabs>
          <w:tab w:val="left" w:pos="7485"/>
        </w:tabs>
        <w:spacing w:after="160" w:line="240" w:lineRule="auto"/>
        <w:ind w:left="714" w:right="23"/>
        <w:contextualSpacing w:val="0"/>
        <w:rPr>
          <w:rFonts w:ascii="Arial" w:hAnsi="Arial" w:cs="Arial"/>
          <w:bCs/>
          <w:color w:val="000000" w:themeColor="text1"/>
          <w:lang w:eastAsia="en-AU"/>
        </w:rPr>
      </w:pPr>
      <w:r w:rsidRPr="00D020D3">
        <w:rPr>
          <w:rFonts w:ascii="Arial" w:hAnsi="Arial" w:cs="Arial"/>
          <w:bCs/>
          <w:color w:val="000000" w:themeColor="text1"/>
          <w:lang w:eastAsia="en-AU"/>
        </w:rPr>
        <w:tab/>
        <w:t xml:space="preserve">Lot 1201 is split zoned residential/local centre and shares its northern boundary with </w:t>
      </w:r>
      <w:r w:rsidR="00684249" w:rsidRPr="00D020D3">
        <w:rPr>
          <w:rFonts w:ascii="Arial" w:hAnsi="Arial" w:cs="Arial"/>
          <w:bCs/>
          <w:color w:val="000000" w:themeColor="text1"/>
          <w:lang w:eastAsia="en-AU"/>
        </w:rPr>
        <w:t>C</w:t>
      </w:r>
      <w:r w:rsidR="001A225E">
        <w:rPr>
          <w:rFonts w:ascii="Arial" w:hAnsi="Arial" w:cs="Arial"/>
          <w:bCs/>
          <w:color w:val="000000" w:themeColor="text1"/>
          <w:lang w:eastAsia="en-AU"/>
        </w:rPr>
        <w:t>ity of Newcastle (C</w:t>
      </w:r>
      <w:r w:rsidR="00684249" w:rsidRPr="00D020D3">
        <w:rPr>
          <w:rFonts w:ascii="Arial" w:hAnsi="Arial" w:cs="Arial"/>
          <w:bCs/>
          <w:color w:val="000000" w:themeColor="text1"/>
          <w:lang w:eastAsia="en-AU"/>
        </w:rPr>
        <w:t>N</w:t>
      </w:r>
      <w:r w:rsidR="001A225E">
        <w:rPr>
          <w:rFonts w:ascii="Arial" w:hAnsi="Arial" w:cs="Arial"/>
          <w:bCs/>
          <w:color w:val="000000" w:themeColor="text1"/>
          <w:lang w:eastAsia="en-AU"/>
        </w:rPr>
        <w:t>) Local Government Area</w:t>
      </w:r>
      <w:r w:rsidRPr="00D020D3">
        <w:rPr>
          <w:rFonts w:ascii="Arial" w:hAnsi="Arial" w:cs="Arial"/>
          <w:bCs/>
          <w:color w:val="000000" w:themeColor="text1"/>
          <w:lang w:eastAsia="en-AU"/>
        </w:rPr>
        <w:t xml:space="preserve"> </w:t>
      </w:r>
      <w:r w:rsidR="001A225E">
        <w:rPr>
          <w:rFonts w:ascii="Arial" w:hAnsi="Arial" w:cs="Arial"/>
          <w:bCs/>
          <w:color w:val="000000" w:themeColor="text1"/>
          <w:lang w:eastAsia="en-AU"/>
        </w:rPr>
        <w:t>(</w:t>
      </w:r>
      <w:r w:rsidRPr="00D020D3">
        <w:rPr>
          <w:rFonts w:ascii="Arial" w:hAnsi="Arial" w:cs="Arial"/>
          <w:bCs/>
          <w:color w:val="000000" w:themeColor="text1"/>
          <w:lang w:eastAsia="en-AU"/>
        </w:rPr>
        <w:t>LGA</w:t>
      </w:r>
      <w:r w:rsidR="001A225E">
        <w:rPr>
          <w:rFonts w:ascii="Arial" w:hAnsi="Arial" w:cs="Arial"/>
          <w:bCs/>
          <w:color w:val="000000" w:themeColor="text1"/>
          <w:lang w:eastAsia="en-AU"/>
        </w:rPr>
        <w:t>)</w:t>
      </w:r>
      <w:r w:rsidRPr="00D020D3">
        <w:rPr>
          <w:rFonts w:ascii="Arial" w:hAnsi="Arial" w:cs="Arial"/>
          <w:bCs/>
          <w:color w:val="000000" w:themeColor="text1"/>
          <w:lang w:eastAsia="en-AU"/>
        </w:rPr>
        <w:t xml:space="preserve"> boundary.</w:t>
      </w:r>
    </w:p>
    <w:p w:rsidR="00FE74E6" w:rsidRPr="00D020D3" w:rsidRDefault="00FE74E6" w:rsidP="00FE74E6">
      <w:pPr>
        <w:pStyle w:val="ListParagraph"/>
        <w:tabs>
          <w:tab w:val="left" w:pos="7485"/>
        </w:tabs>
        <w:spacing w:after="160" w:line="240" w:lineRule="auto"/>
        <w:ind w:left="714" w:right="23"/>
        <w:contextualSpacing w:val="0"/>
        <w:rPr>
          <w:rFonts w:ascii="Arial" w:hAnsi="Arial" w:cs="Arial"/>
          <w:bCs/>
          <w:lang w:eastAsia="en-AU"/>
        </w:rPr>
      </w:pPr>
      <w:r w:rsidRPr="00D020D3">
        <w:rPr>
          <w:rFonts w:ascii="Arial" w:hAnsi="Arial" w:cs="Arial"/>
          <w:bCs/>
          <w:color w:val="000000" w:themeColor="text1"/>
          <w:lang w:eastAsia="en-AU"/>
        </w:rPr>
        <w:tab/>
        <w:t>Lot 2046 is identified for a potential school site.</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16 public/drainage reserves</w:t>
      </w:r>
    </w:p>
    <w:p w:rsidR="00FE74E6" w:rsidRPr="00D020D3" w:rsidRDefault="00FE74E6" w:rsidP="00FE74E6">
      <w:pPr>
        <w:pStyle w:val="ListParagraph"/>
        <w:tabs>
          <w:tab w:val="left" w:pos="7485"/>
        </w:tabs>
        <w:spacing w:after="160" w:line="240" w:lineRule="auto"/>
        <w:ind w:left="714" w:right="23"/>
        <w:contextualSpacing w:val="0"/>
        <w:rPr>
          <w:rFonts w:ascii="Arial" w:hAnsi="Arial" w:cs="Arial"/>
          <w:bCs/>
          <w:color w:val="000000" w:themeColor="text1"/>
          <w:lang w:eastAsia="en-AU"/>
        </w:rPr>
      </w:pPr>
      <w:r w:rsidRPr="00D020D3">
        <w:rPr>
          <w:rFonts w:ascii="Arial" w:hAnsi="Arial" w:cs="Arial"/>
          <w:bCs/>
          <w:color w:val="000000" w:themeColor="text1"/>
          <w:lang w:eastAsia="en-AU"/>
        </w:rPr>
        <w:tab/>
        <w:t>Lots 1851 and 2547 are identified for local parks.</w:t>
      </w:r>
    </w:p>
    <w:p w:rsidR="00FE74E6" w:rsidRPr="00D020D3" w:rsidRDefault="00FE74E6" w:rsidP="00FE74E6">
      <w:pPr>
        <w:tabs>
          <w:tab w:val="left" w:pos="7485"/>
        </w:tabs>
        <w:spacing w:line="240" w:lineRule="auto"/>
        <w:ind w:left="714" w:right="23"/>
        <w:rPr>
          <w:rFonts w:ascii="Arial" w:hAnsi="Arial" w:cs="Arial"/>
          <w:bCs/>
          <w:color w:val="000000" w:themeColor="text1"/>
          <w:lang w:eastAsia="en-AU"/>
        </w:rPr>
      </w:pPr>
      <w:r w:rsidRPr="00D020D3">
        <w:rPr>
          <w:rFonts w:ascii="Arial" w:hAnsi="Arial" w:cs="Arial"/>
          <w:bCs/>
          <w:color w:val="000000" w:themeColor="text1"/>
          <w:lang w:eastAsia="en-AU"/>
        </w:rPr>
        <w:t>Lot 3050 will be created as a landscape buffer to the existing unformed road reserve which is intended to provide future access to the Summerhill Waste Management Centre (SWMC).</w:t>
      </w:r>
    </w:p>
    <w:p w:rsidR="00FE74E6" w:rsidRPr="00D020D3" w:rsidRDefault="00FE74E6" w:rsidP="00FE74E6">
      <w:pPr>
        <w:tabs>
          <w:tab w:val="left" w:pos="7485"/>
        </w:tabs>
        <w:spacing w:line="240" w:lineRule="auto"/>
        <w:ind w:left="709" w:right="23"/>
        <w:rPr>
          <w:rFonts w:ascii="Arial" w:hAnsi="Arial" w:cs="Arial"/>
          <w:bCs/>
          <w:color w:val="000000" w:themeColor="text1"/>
          <w:lang w:eastAsia="en-AU"/>
        </w:rPr>
      </w:pPr>
      <w:r w:rsidRPr="00D020D3">
        <w:rPr>
          <w:rFonts w:ascii="Arial" w:hAnsi="Arial" w:cs="Arial"/>
          <w:bCs/>
          <w:color w:val="000000" w:themeColor="text1"/>
          <w:lang w:eastAsia="en-AU"/>
        </w:rPr>
        <w:t>All reserves will be dedicated to Council for ongoing management.</w:t>
      </w:r>
    </w:p>
    <w:p w:rsidR="00FE74E6" w:rsidRPr="00D020D3" w:rsidRDefault="00035CAB"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C</w:t>
      </w:r>
      <w:r w:rsidR="00FE74E6" w:rsidRPr="00D020D3">
        <w:rPr>
          <w:rFonts w:ascii="Arial" w:hAnsi="Arial" w:cs="Arial"/>
          <w:bCs/>
          <w:lang w:eastAsia="en-AU"/>
        </w:rPr>
        <w:t>learing</w:t>
      </w:r>
      <w:r w:rsidRPr="00D020D3">
        <w:rPr>
          <w:rFonts w:ascii="Arial" w:hAnsi="Arial" w:cs="Arial"/>
          <w:bCs/>
          <w:lang w:eastAsia="en-AU"/>
        </w:rPr>
        <w:t>;</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bulk earthworks</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roads</w:t>
      </w:r>
      <w:r w:rsidR="00035CAB" w:rsidRPr="00D020D3">
        <w:rPr>
          <w:rFonts w:ascii="Arial" w:hAnsi="Arial" w:cs="Arial"/>
          <w:bCs/>
          <w:lang w:eastAsia="en-AU"/>
        </w:rPr>
        <w:t>;</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stormwater infrastructure, including bioretention basins and swales, to be dedicated to Council</w:t>
      </w:r>
      <w:r w:rsidR="00035CAB" w:rsidRPr="00D020D3">
        <w:rPr>
          <w:rFonts w:ascii="Arial" w:hAnsi="Arial" w:cs="Arial"/>
          <w:bCs/>
          <w:lang w:eastAsia="en-AU"/>
        </w:rPr>
        <w:t>;</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utilities</w:t>
      </w:r>
      <w:r w:rsidR="00035CAB" w:rsidRPr="00D020D3">
        <w:rPr>
          <w:rFonts w:ascii="Arial" w:hAnsi="Arial" w:cs="Arial"/>
          <w:bCs/>
          <w:lang w:eastAsia="en-AU"/>
        </w:rPr>
        <w:t>;</w:t>
      </w:r>
    </w:p>
    <w:p w:rsidR="00FE74E6" w:rsidRPr="00D020D3" w:rsidRDefault="00FE74E6" w:rsidP="00DA57D7">
      <w:pPr>
        <w:pStyle w:val="ListParagraph"/>
        <w:numPr>
          <w:ilvl w:val="0"/>
          <w:numId w:val="12"/>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landscaping to public domain areas, including street tree planting, bioretention planting and planting of batters/embankments</w:t>
      </w:r>
      <w:r w:rsidR="00035CAB" w:rsidRPr="00D020D3">
        <w:rPr>
          <w:rFonts w:ascii="Arial" w:hAnsi="Arial" w:cs="Arial"/>
          <w:bCs/>
          <w:lang w:eastAsia="en-AU"/>
        </w:rPr>
        <w:t>.</w:t>
      </w:r>
    </w:p>
    <w:p w:rsidR="00111B32" w:rsidRPr="00D020D3" w:rsidRDefault="00035CAB" w:rsidP="00111B32">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t xml:space="preserve">Additional works associated with servicing the lots are also proposed, relocation of </w:t>
      </w:r>
      <w:r w:rsidR="00CE4A48" w:rsidRPr="00D020D3">
        <w:rPr>
          <w:rFonts w:ascii="Arial" w:hAnsi="Arial" w:cs="Arial"/>
          <w:bCs/>
          <w:color w:val="000000" w:themeColor="text1"/>
          <w:lang w:eastAsia="en-AU"/>
        </w:rPr>
        <w:t>electricity infrastructure, sewer and water infrastructure, traffic upgrades,</w:t>
      </w:r>
      <w:r w:rsidRPr="00D020D3">
        <w:rPr>
          <w:rFonts w:ascii="Arial" w:hAnsi="Arial" w:cs="Arial"/>
          <w:bCs/>
          <w:color w:val="000000" w:themeColor="text1"/>
          <w:lang w:eastAsia="en-AU"/>
        </w:rPr>
        <w:t xml:space="preserve"> </w:t>
      </w:r>
      <w:r w:rsidR="00CE4A48" w:rsidRPr="00D020D3">
        <w:rPr>
          <w:rFonts w:ascii="Arial" w:hAnsi="Arial" w:cs="Arial"/>
          <w:bCs/>
          <w:color w:val="000000" w:themeColor="text1"/>
          <w:lang w:eastAsia="en-AU"/>
        </w:rPr>
        <w:t>recreation facilities</w:t>
      </w:r>
      <w:r w:rsidRPr="00D020D3">
        <w:rPr>
          <w:rFonts w:ascii="Arial" w:hAnsi="Arial" w:cs="Arial"/>
          <w:bCs/>
          <w:color w:val="000000" w:themeColor="text1"/>
          <w:lang w:eastAsia="en-AU"/>
        </w:rPr>
        <w:t xml:space="preserve"> and </w:t>
      </w:r>
      <w:r w:rsidRPr="00D020D3">
        <w:rPr>
          <w:rFonts w:ascii="Arial" w:hAnsi="Arial" w:cs="Arial"/>
          <w:bCs/>
          <w:lang w:eastAsia="en-AU"/>
        </w:rPr>
        <w:t>existing road network upgrades.</w:t>
      </w:r>
    </w:p>
    <w:p w:rsidR="00FE74E6" w:rsidRPr="00D020D3" w:rsidRDefault="00FE74E6" w:rsidP="00FE74E6">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t xml:space="preserve">The development is proposed to be constructed over 21 stages. The stage numbering is not consecutive and some stages may be completed concurrently. </w:t>
      </w:r>
    </w:p>
    <w:p w:rsidR="00FE74E6" w:rsidRPr="00D020D3" w:rsidRDefault="00FE74E6" w:rsidP="00FE74E6">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t xml:space="preserve">The development application relates to a majority of Stage 5 of the Concept Approval, with the remainder of Stage 5 contained within the </w:t>
      </w:r>
      <w:r w:rsidR="006D40E6">
        <w:rPr>
          <w:rFonts w:ascii="Arial" w:hAnsi="Arial" w:cs="Arial"/>
          <w:bCs/>
          <w:color w:val="000000" w:themeColor="text1"/>
          <w:lang w:eastAsia="en-AU"/>
        </w:rPr>
        <w:t xml:space="preserve">CN </w:t>
      </w:r>
      <w:r w:rsidRPr="00D020D3">
        <w:rPr>
          <w:rFonts w:ascii="Arial" w:hAnsi="Arial" w:cs="Arial"/>
          <w:bCs/>
          <w:color w:val="000000" w:themeColor="text1"/>
          <w:lang w:eastAsia="en-AU"/>
        </w:rPr>
        <w:t>LGA and subject of a concurrent development application being considered by the Hunter and Central Coast Regional Planning Panel (RPP).</w:t>
      </w:r>
    </w:p>
    <w:p w:rsidR="00BB3914" w:rsidRPr="00D020D3" w:rsidRDefault="00BB3914" w:rsidP="00FE74E6">
      <w:pPr>
        <w:tabs>
          <w:tab w:val="left" w:pos="7485"/>
        </w:tabs>
        <w:spacing w:line="240" w:lineRule="auto"/>
        <w:ind w:right="23"/>
        <w:rPr>
          <w:rFonts w:ascii="Arial" w:hAnsi="Arial" w:cs="Arial"/>
          <w:bCs/>
          <w:color w:val="000000" w:themeColor="text1"/>
          <w:lang w:eastAsia="en-AU"/>
        </w:rPr>
      </w:pPr>
    </w:p>
    <w:p w:rsidR="00BB3914" w:rsidRPr="00D020D3" w:rsidRDefault="00BB3914" w:rsidP="00FE74E6">
      <w:pPr>
        <w:tabs>
          <w:tab w:val="left" w:pos="7485"/>
        </w:tabs>
        <w:spacing w:line="240" w:lineRule="auto"/>
        <w:ind w:right="23"/>
        <w:rPr>
          <w:rFonts w:ascii="Arial" w:hAnsi="Arial" w:cs="Arial"/>
          <w:bCs/>
          <w:color w:val="000000" w:themeColor="text1"/>
          <w:lang w:eastAsia="en-AU"/>
        </w:rPr>
      </w:pPr>
    </w:p>
    <w:p w:rsidR="00BB3914" w:rsidRPr="00D020D3" w:rsidRDefault="00BB3914" w:rsidP="00FE74E6">
      <w:pPr>
        <w:tabs>
          <w:tab w:val="left" w:pos="7485"/>
        </w:tabs>
        <w:spacing w:line="240" w:lineRule="auto"/>
        <w:ind w:right="23"/>
        <w:rPr>
          <w:rFonts w:ascii="Arial" w:hAnsi="Arial" w:cs="Arial"/>
          <w:bCs/>
          <w:color w:val="000000" w:themeColor="text1"/>
          <w:lang w:eastAsia="en-AU"/>
        </w:rPr>
      </w:pPr>
    </w:p>
    <w:p w:rsidR="00BB3914" w:rsidRPr="00D020D3" w:rsidRDefault="00BB3914" w:rsidP="00FE74E6">
      <w:pPr>
        <w:tabs>
          <w:tab w:val="left" w:pos="7485"/>
        </w:tabs>
        <w:spacing w:line="240" w:lineRule="auto"/>
        <w:ind w:right="23"/>
        <w:rPr>
          <w:rFonts w:ascii="Arial" w:hAnsi="Arial" w:cs="Arial"/>
          <w:bCs/>
          <w:color w:val="000000" w:themeColor="text1"/>
          <w:lang w:eastAsia="en-AU"/>
        </w:rPr>
      </w:pPr>
    </w:p>
    <w:p w:rsidR="00BB3914" w:rsidRPr="00D020D3" w:rsidRDefault="00BB3914" w:rsidP="00FE74E6">
      <w:pPr>
        <w:tabs>
          <w:tab w:val="left" w:pos="7485"/>
        </w:tabs>
        <w:spacing w:line="240" w:lineRule="auto"/>
        <w:ind w:right="23"/>
        <w:rPr>
          <w:rFonts w:ascii="Arial" w:hAnsi="Arial" w:cs="Arial"/>
          <w:bCs/>
          <w:color w:val="000000" w:themeColor="text1"/>
          <w:lang w:eastAsia="en-AU"/>
        </w:rPr>
      </w:pPr>
    </w:p>
    <w:p w:rsidR="009A4AB8" w:rsidRPr="00D020D3" w:rsidRDefault="009A4AB8" w:rsidP="00DA57D7">
      <w:pPr>
        <w:pStyle w:val="ListParagraph"/>
        <w:numPr>
          <w:ilvl w:val="0"/>
          <w:numId w:val="11"/>
        </w:numPr>
        <w:tabs>
          <w:tab w:val="left" w:pos="7485"/>
        </w:tabs>
        <w:spacing w:after="160" w:line="240" w:lineRule="auto"/>
        <w:ind w:right="23" w:hanging="720"/>
        <w:contextualSpacing w:val="0"/>
        <w:rPr>
          <w:rFonts w:ascii="Arial" w:hAnsi="Arial" w:cs="Arial"/>
          <w:b/>
          <w:lang w:eastAsia="en-AU"/>
        </w:rPr>
      </w:pPr>
      <w:r w:rsidRPr="00D020D3">
        <w:rPr>
          <w:rFonts w:ascii="Arial" w:hAnsi="Arial" w:cs="Arial"/>
          <w:b/>
          <w:lang w:eastAsia="en-AU"/>
        </w:rPr>
        <w:lastRenderedPageBreak/>
        <w:t>Background</w:t>
      </w:r>
    </w:p>
    <w:p w:rsidR="009A4AB8" w:rsidRPr="00D020D3" w:rsidRDefault="009A4AB8" w:rsidP="009A4AB8">
      <w:pPr>
        <w:tabs>
          <w:tab w:val="left" w:pos="7485"/>
        </w:tabs>
        <w:spacing w:line="240" w:lineRule="auto"/>
        <w:ind w:right="23"/>
        <w:rPr>
          <w:rFonts w:ascii="Arial" w:hAnsi="Arial" w:cs="Arial"/>
          <w:b/>
          <w:lang w:eastAsia="en-AU"/>
        </w:rPr>
      </w:pPr>
      <w:r w:rsidRPr="00D020D3">
        <w:rPr>
          <w:rFonts w:ascii="Arial" w:hAnsi="Arial" w:cs="Arial"/>
          <w:b/>
          <w:lang w:eastAsia="en-AU"/>
        </w:rPr>
        <w:t>2.1 DA chronology</w:t>
      </w:r>
    </w:p>
    <w:tbl>
      <w:tblPr>
        <w:tblStyle w:val="DPETable"/>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FE74E6" w:rsidRPr="00D020D3" w:rsidTr="00BB3914">
        <w:trPr>
          <w:cnfStyle w:val="100000000000" w:firstRow="1" w:lastRow="0" w:firstColumn="0" w:lastColumn="0" w:oddVBand="0" w:evenVBand="0" w:oddHBand="0" w:evenHBand="0" w:firstRowFirstColumn="0" w:firstRowLastColumn="0" w:lastRowFirstColumn="0" w:lastRowLastColumn="0"/>
          <w:tblHeader/>
        </w:trPr>
        <w:tc>
          <w:tcPr>
            <w:tcW w:w="2943" w:type="dxa"/>
            <w:tcBorders>
              <w:bottom w:val="single" w:sz="2" w:space="0" w:color="auto"/>
            </w:tcBorders>
          </w:tcPr>
          <w:p w:rsidR="00FE74E6" w:rsidRPr="00D020D3" w:rsidRDefault="00FE74E6" w:rsidP="009A4AB8">
            <w:pPr>
              <w:pStyle w:val="FigureCaption"/>
              <w:spacing w:before="0" w:after="160"/>
              <w:ind w:left="0"/>
              <w:rPr>
                <w:rFonts w:ascii="Arial" w:hAnsi="Arial" w:cs="Arial"/>
                <w:color w:val="auto"/>
                <w:sz w:val="22"/>
                <w:szCs w:val="22"/>
              </w:rPr>
            </w:pPr>
            <w:r w:rsidRPr="00D020D3">
              <w:rPr>
                <w:rFonts w:ascii="Arial" w:hAnsi="Arial" w:cs="Arial"/>
                <w:b/>
                <w:color w:val="auto"/>
                <w:sz w:val="22"/>
                <w:szCs w:val="22"/>
              </w:rPr>
              <w:t>Date</w:t>
            </w:r>
          </w:p>
        </w:tc>
        <w:tc>
          <w:tcPr>
            <w:tcW w:w="6379" w:type="dxa"/>
            <w:tcBorders>
              <w:bottom w:val="single" w:sz="2" w:space="0" w:color="auto"/>
            </w:tcBorders>
          </w:tcPr>
          <w:p w:rsidR="00FE74E6" w:rsidRPr="00D020D3" w:rsidRDefault="00FE74E6" w:rsidP="009A4AB8">
            <w:pPr>
              <w:pStyle w:val="FigureCaption"/>
              <w:spacing w:before="0" w:after="160"/>
              <w:ind w:left="0"/>
              <w:rPr>
                <w:rFonts w:ascii="Arial" w:hAnsi="Arial" w:cs="Arial"/>
                <w:color w:val="auto"/>
                <w:sz w:val="22"/>
                <w:szCs w:val="22"/>
              </w:rPr>
            </w:pPr>
            <w:r w:rsidRPr="00D020D3">
              <w:rPr>
                <w:rFonts w:ascii="Arial" w:hAnsi="Arial" w:cs="Arial"/>
                <w:b/>
                <w:color w:val="auto"/>
                <w:sz w:val="22"/>
                <w:szCs w:val="22"/>
              </w:rPr>
              <w:t>Event</w:t>
            </w:r>
          </w:p>
        </w:tc>
      </w:tr>
      <w:tr w:rsidR="00FE74E6" w:rsidRPr="00D020D3" w:rsidTr="00F3044C">
        <w:trPr>
          <w:trHeight w:val="555"/>
        </w:trPr>
        <w:tc>
          <w:tcPr>
            <w:tcW w:w="2943" w:type="dxa"/>
          </w:tcPr>
          <w:p w:rsidR="00FE74E6" w:rsidRPr="00D020D3" w:rsidRDefault="000B4022" w:rsidP="00046998">
            <w:pPr>
              <w:pStyle w:val="FigureCaption"/>
              <w:spacing w:before="0" w:after="160"/>
              <w:ind w:left="0"/>
              <w:jc w:val="left"/>
              <w:rPr>
                <w:rFonts w:ascii="Arial" w:hAnsi="Arial" w:cs="Arial"/>
                <w:b w:val="0"/>
                <w:color w:val="000000" w:themeColor="text1"/>
                <w:sz w:val="22"/>
                <w:szCs w:val="22"/>
              </w:rPr>
            </w:pPr>
            <w:sdt>
              <w:sdtPr>
                <w:rPr>
                  <w:rFonts w:ascii="Arial" w:hAnsi="Arial" w:cs="Arial"/>
                  <w:b w:val="0"/>
                  <w:color w:val="000000" w:themeColor="text1"/>
                  <w:sz w:val="22"/>
                  <w:szCs w:val="22"/>
                </w:rPr>
                <w:id w:val="620030263"/>
                <w:placeholder>
                  <w:docPart w:val="D36DC346906744D3AEEDD34475E1D944"/>
                </w:placeholder>
                <w:date w:fullDate="2018-11-22T00:00:00Z">
                  <w:dateFormat w:val="d MMMM yyyy"/>
                  <w:lid w:val="en-AU"/>
                  <w:storeMappedDataAs w:val="dateTime"/>
                  <w:calendar w:val="gregorian"/>
                </w:date>
              </w:sdtPr>
              <w:sdtEndPr/>
              <w:sdtContent>
                <w:r w:rsidR="00FE74E6" w:rsidRPr="00D020D3">
                  <w:rPr>
                    <w:rFonts w:ascii="Arial" w:hAnsi="Arial" w:cs="Arial"/>
                    <w:b w:val="0"/>
                    <w:color w:val="000000" w:themeColor="text1"/>
                    <w:sz w:val="22"/>
                    <w:szCs w:val="22"/>
                    <w:lang w:val="en-AU"/>
                  </w:rPr>
                  <w:t>22 November 2018</w:t>
                </w:r>
              </w:sdtContent>
            </w:sdt>
          </w:p>
        </w:tc>
        <w:tc>
          <w:tcPr>
            <w:tcW w:w="6379" w:type="dxa"/>
          </w:tcPr>
          <w:p w:rsidR="00FE74E6" w:rsidRPr="00D020D3" w:rsidRDefault="00035CAB"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Original application l</w:t>
            </w:r>
            <w:r w:rsidR="00FE74E6" w:rsidRPr="00D020D3">
              <w:rPr>
                <w:rFonts w:ascii="Arial" w:hAnsi="Arial" w:cs="Arial"/>
                <w:b w:val="0"/>
                <w:color w:val="000000" w:themeColor="text1"/>
                <w:sz w:val="22"/>
                <w:szCs w:val="22"/>
              </w:rPr>
              <w:t xml:space="preserve">odgement date </w:t>
            </w:r>
          </w:p>
        </w:tc>
      </w:tr>
      <w:tr w:rsidR="00F3044C" w:rsidRPr="00D020D3" w:rsidTr="00F3044C">
        <w:trPr>
          <w:trHeight w:val="555"/>
        </w:trPr>
        <w:tc>
          <w:tcPr>
            <w:tcW w:w="2943"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13 December 2022</w:t>
            </w:r>
          </w:p>
        </w:tc>
        <w:tc>
          <w:tcPr>
            <w:tcW w:w="6379"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RPP determination decision - refusal</w:t>
            </w:r>
          </w:p>
        </w:tc>
      </w:tr>
      <w:tr w:rsidR="00F3044C" w:rsidRPr="00D020D3" w:rsidTr="00F3044C">
        <w:trPr>
          <w:trHeight w:val="555"/>
        </w:trPr>
        <w:tc>
          <w:tcPr>
            <w:tcW w:w="2943"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2 February 2023</w:t>
            </w:r>
          </w:p>
        </w:tc>
        <w:tc>
          <w:tcPr>
            <w:tcW w:w="6379"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Lodgement of Section 8.2 review application with LMCC</w:t>
            </w:r>
          </w:p>
        </w:tc>
      </w:tr>
      <w:tr w:rsidR="00F3044C" w:rsidRPr="00D020D3" w:rsidTr="00F3044C">
        <w:trPr>
          <w:trHeight w:val="555"/>
        </w:trPr>
        <w:tc>
          <w:tcPr>
            <w:tcW w:w="2943"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6 February – 28 February 2023</w:t>
            </w:r>
          </w:p>
        </w:tc>
        <w:tc>
          <w:tcPr>
            <w:tcW w:w="6379"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Notification of review application</w:t>
            </w:r>
          </w:p>
        </w:tc>
      </w:tr>
      <w:tr w:rsidR="00F3044C" w:rsidRPr="00D020D3" w:rsidTr="00F3044C">
        <w:trPr>
          <w:trHeight w:val="555"/>
        </w:trPr>
        <w:tc>
          <w:tcPr>
            <w:tcW w:w="2943"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6 February 2023</w:t>
            </w:r>
          </w:p>
        </w:tc>
        <w:tc>
          <w:tcPr>
            <w:tcW w:w="6379" w:type="dxa"/>
          </w:tcPr>
          <w:p w:rsidR="00F3044C" w:rsidRPr="00D020D3" w:rsidRDefault="00F3044C"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Internal and external referrals issued</w:t>
            </w:r>
          </w:p>
        </w:tc>
      </w:tr>
      <w:tr w:rsidR="00F3044C" w:rsidRPr="00D020D3" w:rsidTr="00F3044C">
        <w:trPr>
          <w:trHeight w:val="555"/>
        </w:trPr>
        <w:tc>
          <w:tcPr>
            <w:tcW w:w="2943" w:type="dxa"/>
          </w:tcPr>
          <w:p w:rsidR="00F3044C" w:rsidRPr="00D020D3" w:rsidRDefault="008567C8"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5 April 2023</w:t>
            </w:r>
          </w:p>
        </w:tc>
        <w:tc>
          <w:tcPr>
            <w:tcW w:w="6379" w:type="dxa"/>
          </w:tcPr>
          <w:p w:rsidR="00F3044C" w:rsidRPr="00D020D3" w:rsidRDefault="008567C8"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Further information submitted by applicant regarding ‘</w:t>
            </w:r>
            <w:proofErr w:type="spellStart"/>
            <w:r w:rsidRPr="00D020D3">
              <w:rPr>
                <w:rFonts w:ascii="Arial" w:hAnsi="Arial" w:cs="Arial"/>
                <w:b w:val="0"/>
                <w:color w:val="000000" w:themeColor="text1"/>
                <w:sz w:val="22"/>
                <w:szCs w:val="22"/>
              </w:rPr>
              <w:t>uplisted</w:t>
            </w:r>
            <w:proofErr w:type="spellEnd"/>
            <w:r w:rsidRPr="00D020D3">
              <w:rPr>
                <w:rFonts w:ascii="Arial" w:hAnsi="Arial" w:cs="Arial"/>
                <w:b w:val="0"/>
                <w:color w:val="000000" w:themeColor="text1"/>
                <w:sz w:val="22"/>
                <w:szCs w:val="22"/>
              </w:rPr>
              <w:t>’ flora and fauna species</w:t>
            </w:r>
            <w:r w:rsidR="007A35DA" w:rsidRPr="00D020D3">
              <w:rPr>
                <w:rFonts w:ascii="Arial" w:hAnsi="Arial" w:cs="Arial"/>
                <w:b w:val="0"/>
                <w:color w:val="000000" w:themeColor="text1"/>
                <w:sz w:val="22"/>
                <w:szCs w:val="22"/>
              </w:rPr>
              <w:t xml:space="preserve"> and public domain landscaping</w:t>
            </w:r>
            <w:r w:rsidR="007A2F16" w:rsidRPr="00D020D3">
              <w:rPr>
                <w:rFonts w:ascii="Arial" w:hAnsi="Arial" w:cs="Arial"/>
                <w:b w:val="0"/>
                <w:color w:val="000000" w:themeColor="text1"/>
                <w:sz w:val="22"/>
                <w:szCs w:val="22"/>
              </w:rPr>
              <w:t>.</w:t>
            </w:r>
          </w:p>
        </w:tc>
      </w:tr>
      <w:tr w:rsidR="00F3044C" w:rsidRPr="00D020D3" w:rsidTr="007A35DA">
        <w:trPr>
          <w:trHeight w:val="555"/>
        </w:trPr>
        <w:tc>
          <w:tcPr>
            <w:tcW w:w="2943" w:type="dxa"/>
          </w:tcPr>
          <w:p w:rsidR="00F3044C" w:rsidRPr="00D020D3" w:rsidRDefault="007A35DA"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17 May 2023</w:t>
            </w:r>
          </w:p>
        </w:tc>
        <w:tc>
          <w:tcPr>
            <w:tcW w:w="6379" w:type="dxa"/>
          </w:tcPr>
          <w:p w:rsidR="00F3044C" w:rsidRPr="00D020D3" w:rsidRDefault="007A35DA"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Advice received from applicant of agreement with TfNSW to resolve regional traffic requirements for the development.</w:t>
            </w:r>
          </w:p>
        </w:tc>
      </w:tr>
      <w:tr w:rsidR="007A35DA" w:rsidRPr="00D020D3" w:rsidTr="00046998">
        <w:trPr>
          <w:trHeight w:val="555"/>
        </w:trPr>
        <w:tc>
          <w:tcPr>
            <w:tcW w:w="2943" w:type="dxa"/>
            <w:tcBorders>
              <w:bottom w:val="single" w:sz="2" w:space="0" w:color="auto"/>
            </w:tcBorders>
          </w:tcPr>
          <w:p w:rsidR="007A35DA" w:rsidRPr="00D020D3" w:rsidRDefault="007A35DA"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22 May 2023</w:t>
            </w:r>
          </w:p>
        </w:tc>
        <w:tc>
          <w:tcPr>
            <w:tcW w:w="6379" w:type="dxa"/>
            <w:tcBorders>
              <w:bottom w:val="single" w:sz="2" w:space="0" w:color="auto"/>
            </w:tcBorders>
          </w:tcPr>
          <w:p w:rsidR="007A35DA" w:rsidRPr="00D020D3" w:rsidRDefault="007A35DA" w:rsidP="00046998">
            <w:pPr>
              <w:pStyle w:val="FigureCaption"/>
              <w:spacing w:before="0" w:after="160"/>
              <w:ind w:left="0"/>
              <w:jc w:val="left"/>
              <w:rPr>
                <w:rFonts w:ascii="Arial" w:hAnsi="Arial" w:cs="Arial"/>
                <w:b w:val="0"/>
                <w:color w:val="000000" w:themeColor="text1"/>
                <w:sz w:val="22"/>
                <w:szCs w:val="22"/>
              </w:rPr>
            </w:pPr>
            <w:r w:rsidRPr="00D020D3">
              <w:rPr>
                <w:rFonts w:ascii="Arial" w:hAnsi="Arial" w:cs="Arial"/>
                <w:b w:val="0"/>
                <w:color w:val="000000" w:themeColor="text1"/>
                <w:sz w:val="22"/>
                <w:szCs w:val="22"/>
              </w:rPr>
              <w:t>Partial RFI issued for matters arising from internal engineering referral.</w:t>
            </w:r>
          </w:p>
        </w:tc>
      </w:tr>
    </w:tbl>
    <w:p w:rsidR="00FE74E6" w:rsidRPr="00D020D3" w:rsidRDefault="00FE74E6" w:rsidP="009A4AB8">
      <w:pPr>
        <w:tabs>
          <w:tab w:val="left" w:pos="7485"/>
        </w:tabs>
        <w:spacing w:line="240" w:lineRule="auto"/>
        <w:ind w:right="23"/>
        <w:rPr>
          <w:rFonts w:ascii="Arial" w:hAnsi="Arial" w:cs="Arial"/>
          <w:b/>
          <w:sz w:val="24"/>
          <w:szCs w:val="24"/>
          <w:lang w:eastAsia="en-AU"/>
        </w:rPr>
      </w:pPr>
    </w:p>
    <w:p w:rsidR="009A4AB8" w:rsidRPr="00D020D3" w:rsidRDefault="009A4AB8" w:rsidP="009A4AB8">
      <w:pPr>
        <w:tabs>
          <w:tab w:val="left" w:pos="7485"/>
        </w:tabs>
        <w:spacing w:line="240" w:lineRule="auto"/>
        <w:ind w:right="23"/>
        <w:rPr>
          <w:rFonts w:ascii="Arial" w:hAnsi="Arial" w:cs="Arial"/>
          <w:b/>
          <w:lang w:eastAsia="en-AU"/>
        </w:rPr>
      </w:pPr>
      <w:r w:rsidRPr="00D020D3">
        <w:rPr>
          <w:rFonts w:ascii="Arial" w:hAnsi="Arial" w:cs="Arial"/>
          <w:b/>
          <w:lang w:eastAsia="en-AU"/>
        </w:rPr>
        <w:t xml:space="preserve">2.2 </w:t>
      </w:r>
      <w:r w:rsidR="007A2F16" w:rsidRPr="00D020D3">
        <w:rPr>
          <w:rFonts w:ascii="Arial" w:hAnsi="Arial" w:cs="Arial"/>
          <w:b/>
          <w:lang w:eastAsia="en-AU"/>
        </w:rPr>
        <w:t>Status of Assessment</w:t>
      </w:r>
    </w:p>
    <w:p w:rsidR="007A2F16" w:rsidRPr="00D020D3" w:rsidRDefault="007A2F16" w:rsidP="009A4AB8">
      <w:pPr>
        <w:tabs>
          <w:tab w:val="left" w:pos="567"/>
        </w:tabs>
        <w:spacing w:line="240" w:lineRule="auto"/>
        <w:ind w:right="23"/>
        <w:rPr>
          <w:rFonts w:ascii="Arial" w:hAnsi="Arial" w:cs="Arial"/>
          <w:bCs/>
          <w:lang w:eastAsia="en-AU"/>
        </w:rPr>
      </w:pPr>
      <w:r w:rsidRPr="00D020D3">
        <w:rPr>
          <w:rFonts w:ascii="Arial" w:hAnsi="Arial" w:cs="Arial"/>
          <w:bCs/>
          <w:lang w:eastAsia="en-AU"/>
        </w:rPr>
        <w:t xml:space="preserve">The applicant has submitted further information in </w:t>
      </w:r>
      <w:r w:rsidR="006C6F1C" w:rsidRPr="00D020D3">
        <w:rPr>
          <w:rFonts w:ascii="Arial" w:hAnsi="Arial" w:cs="Arial"/>
          <w:bCs/>
          <w:lang w:eastAsia="en-AU"/>
        </w:rPr>
        <w:t>response to</w:t>
      </w:r>
      <w:r w:rsidRPr="00D020D3">
        <w:rPr>
          <w:rFonts w:ascii="Arial" w:hAnsi="Arial" w:cs="Arial"/>
          <w:bCs/>
          <w:lang w:eastAsia="en-AU"/>
        </w:rPr>
        <w:t xml:space="preserve"> the reasons for refusal identified on the Panel’s determination letter. This information is currently under assessment by Council</w:t>
      </w:r>
      <w:r w:rsidR="006C6F1C" w:rsidRPr="00D020D3">
        <w:rPr>
          <w:rFonts w:ascii="Arial" w:hAnsi="Arial" w:cs="Arial"/>
          <w:bCs/>
          <w:lang w:eastAsia="en-AU"/>
        </w:rPr>
        <w:t>. Further information has been requested with regard to</w:t>
      </w:r>
      <w:r w:rsidRPr="00D020D3">
        <w:rPr>
          <w:rFonts w:ascii="Arial" w:hAnsi="Arial" w:cs="Arial"/>
          <w:bCs/>
          <w:lang w:eastAsia="en-AU"/>
        </w:rPr>
        <w:t>:</w:t>
      </w:r>
    </w:p>
    <w:p w:rsidR="007A2F16" w:rsidRPr="00D020D3" w:rsidRDefault="006C6F1C"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sidRPr="00D020D3">
        <w:rPr>
          <w:rFonts w:ascii="Arial" w:hAnsi="Arial" w:cs="Arial"/>
          <w:bCs/>
          <w:lang w:eastAsia="en-AU"/>
        </w:rPr>
        <w:t>Sufficiency</w:t>
      </w:r>
      <w:r w:rsidR="007A2F16" w:rsidRPr="00D020D3">
        <w:rPr>
          <w:rFonts w:ascii="Arial" w:hAnsi="Arial" w:cs="Arial"/>
          <w:bCs/>
          <w:lang w:eastAsia="en-AU"/>
        </w:rPr>
        <w:t xml:space="preserve"> of flora and fauna surveys for up-listed species, namely Koalas and Scrub Turpentine</w:t>
      </w:r>
      <w:r w:rsidRPr="00D020D3">
        <w:rPr>
          <w:rFonts w:ascii="Arial" w:hAnsi="Arial" w:cs="Arial"/>
          <w:bCs/>
          <w:lang w:eastAsia="en-AU"/>
        </w:rPr>
        <w:t>;</w:t>
      </w:r>
    </w:p>
    <w:p w:rsidR="007A2F16" w:rsidRPr="00D020D3" w:rsidRDefault="006C6F1C"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sidRPr="00D020D3">
        <w:rPr>
          <w:rFonts w:ascii="Arial" w:hAnsi="Arial" w:cs="Arial"/>
          <w:bCs/>
          <w:lang w:eastAsia="en-AU"/>
        </w:rPr>
        <w:t>Identification of suitable dwelling locations for certain lots;</w:t>
      </w:r>
    </w:p>
    <w:p w:rsidR="006C6F1C" w:rsidRPr="00D020D3" w:rsidRDefault="006C6F1C"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sidRPr="00D020D3">
        <w:rPr>
          <w:rFonts w:ascii="Arial" w:hAnsi="Arial" w:cs="Arial"/>
          <w:bCs/>
          <w:lang w:eastAsia="en-AU"/>
        </w:rPr>
        <w:t>Responsibility and timeframes for road network upgrades;</w:t>
      </w:r>
    </w:p>
    <w:p w:rsidR="006C6F1C" w:rsidRPr="00D020D3" w:rsidRDefault="006C6F1C"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sidRPr="00D020D3">
        <w:rPr>
          <w:rFonts w:ascii="Arial" w:hAnsi="Arial" w:cs="Arial"/>
          <w:bCs/>
          <w:lang w:eastAsia="en-AU"/>
        </w:rPr>
        <w:t>Consistency of APZs across plans and documentation;</w:t>
      </w:r>
    </w:p>
    <w:p w:rsidR="006C6F1C" w:rsidRDefault="006C6F1C"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sidRPr="00D020D3">
        <w:rPr>
          <w:rFonts w:ascii="Arial" w:hAnsi="Arial" w:cs="Arial"/>
          <w:bCs/>
          <w:lang w:eastAsia="en-AU"/>
        </w:rPr>
        <w:t>Additional construction impacts arising from SANSW requirements</w:t>
      </w:r>
      <w:r w:rsidR="003D58B2">
        <w:rPr>
          <w:rFonts w:ascii="Arial" w:hAnsi="Arial" w:cs="Arial"/>
          <w:bCs/>
          <w:lang w:eastAsia="en-AU"/>
        </w:rPr>
        <w:t>;</w:t>
      </w:r>
    </w:p>
    <w:p w:rsidR="003D58B2" w:rsidRPr="00D020D3" w:rsidRDefault="003D58B2" w:rsidP="006C6F1C">
      <w:pPr>
        <w:pStyle w:val="ListParagraph"/>
        <w:numPr>
          <w:ilvl w:val="0"/>
          <w:numId w:val="12"/>
        </w:numPr>
        <w:tabs>
          <w:tab w:val="left" w:pos="567"/>
        </w:tabs>
        <w:spacing w:before="160" w:after="160" w:line="240" w:lineRule="auto"/>
        <w:ind w:left="714" w:right="23" w:hanging="357"/>
        <w:contextualSpacing w:val="0"/>
        <w:rPr>
          <w:rFonts w:ascii="Arial" w:hAnsi="Arial" w:cs="Arial"/>
          <w:bCs/>
          <w:lang w:eastAsia="en-AU"/>
        </w:rPr>
      </w:pPr>
      <w:r>
        <w:rPr>
          <w:rFonts w:ascii="Arial" w:hAnsi="Arial" w:cs="Arial"/>
          <w:bCs/>
          <w:lang w:eastAsia="en-AU"/>
        </w:rPr>
        <w:t>Sufficiency of the air quality assessment;</w:t>
      </w:r>
    </w:p>
    <w:p w:rsidR="007A2F16" w:rsidRPr="00D020D3" w:rsidRDefault="006C6F1C" w:rsidP="009A4AB8">
      <w:pPr>
        <w:tabs>
          <w:tab w:val="left" w:pos="567"/>
        </w:tabs>
        <w:spacing w:line="240" w:lineRule="auto"/>
        <w:ind w:right="23"/>
        <w:rPr>
          <w:rFonts w:ascii="Arial" w:hAnsi="Arial" w:cs="Arial"/>
          <w:bCs/>
          <w:lang w:eastAsia="en-AU"/>
        </w:rPr>
      </w:pPr>
      <w:r w:rsidRPr="00D020D3">
        <w:rPr>
          <w:rFonts w:ascii="Arial" w:hAnsi="Arial" w:cs="Arial"/>
          <w:bCs/>
          <w:lang w:eastAsia="en-AU"/>
        </w:rPr>
        <w:t xml:space="preserve">A full assessment has not been conducted at this stage as key referral responses are </w:t>
      </w:r>
      <w:r w:rsidR="006D40E6">
        <w:rPr>
          <w:rFonts w:ascii="Arial" w:hAnsi="Arial" w:cs="Arial"/>
          <w:bCs/>
          <w:lang w:eastAsia="en-AU"/>
        </w:rPr>
        <w:t>outstanding</w:t>
      </w:r>
      <w:r w:rsidRPr="00D020D3">
        <w:rPr>
          <w:rFonts w:ascii="Arial" w:hAnsi="Arial" w:cs="Arial"/>
          <w:bCs/>
          <w:lang w:eastAsia="en-AU"/>
        </w:rPr>
        <w:t>.</w:t>
      </w:r>
    </w:p>
    <w:p w:rsidR="007A2F16" w:rsidRPr="00D020D3" w:rsidRDefault="007A2F16" w:rsidP="009A4AB8">
      <w:pPr>
        <w:tabs>
          <w:tab w:val="left" w:pos="567"/>
        </w:tabs>
        <w:spacing w:line="240" w:lineRule="auto"/>
        <w:ind w:right="23"/>
        <w:rPr>
          <w:rFonts w:ascii="Arial" w:hAnsi="Arial" w:cs="Arial"/>
          <w:bCs/>
          <w:lang w:eastAsia="en-AU"/>
        </w:rPr>
      </w:pPr>
    </w:p>
    <w:p w:rsidR="00FE74E6" w:rsidRPr="00D020D3" w:rsidRDefault="009A4AB8" w:rsidP="00DA57D7">
      <w:pPr>
        <w:pStyle w:val="ListParagraph"/>
        <w:numPr>
          <w:ilvl w:val="0"/>
          <w:numId w:val="11"/>
        </w:numPr>
        <w:tabs>
          <w:tab w:val="left" w:pos="7485"/>
        </w:tabs>
        <w:spacing w:after="160" w:line="240" w:lineRule="auto"/>
        <w:ind w:right="23" w:hanging="720"/>
        <w:contextualSpacing w:val="0"/>
        <w:rPr>
          <w:rFonts w:ascii="Arial" w:hAnsi="Arial" w:cs="Arial"/>
          <w:b/>
          <w:lang w:eastAsia="en-AU"/>
        </w:rPr>
      </w:pPr>
      <w:r w:rsidRPr="00D020D3">
        <w:rPr>
          <w:rFonts w:ascii="Arial" w:hAnsi="Arial" w:cs="Arial"/>
          <w:b/>
          <w:lang w:eastAsia="en-AU"/>
        </w:rPr>
        <w:t xml:space="preserve">Referrals and submissions </w:t>
      </w:r>
    </w:p>
    <w:p w:rsidR="00FE74E6" w:rsidRPr="00D020D3" w:rsidRDefault="00FE74E6" w:rsidP="006534CE">
      <w:pPr>
        <w:widowControl w:val="0"/>
        <w:tabs>
          <w:tab w:val="left" w:pos="7485"/>
        </w:tabs>
        <w:spacing w:line="240" w:lineRule="auto"/>
        <w:ind w:right="23"/>
        <w:rPr>
          <w:rFonts w:ascii="Arial" w:hAnsi="Arial" w:cs="Arial"/>
          <w:b/>
          <w:lang w:eastAsia="en-AU"/>
        </w:rPr>
      </w:pPr>
      <w:r w:rsidRPr="00D020D3">
        <w:rPr>
          <w:rFonts w:ascii="Arial" w:hAnsi="Arial" w:cs="Arial"/>
          <w:b/>
          <w:lang w:eastAsia="en-AU"/>
        </w:rPr>
        <w:lastRenderedPageBreak/>
        <w:t xml:space="preserve">3.1 Agency </w:t>
      </w:r>
      <w:r w:rsidR="009A4AB8" w:rsidRPr="00D020D3">
        <w:rPr>
          <w:rFonts w:ascii="Arial" w:hAnsi="Arial" w:cs="Arial"/>
          <w:b/>
          <w:lang w:eastAsia="en-AU"/>
        </w:rPr>
        <w:t>r</w:t>
      </w:r>
      <w:r w:rsidRPr="00D020D3">
        <w:rPr>
          <w:rFonts w:ascii="Arial" w:hAnsi="Arial" w:cs="Arial"/>
          <w:b/>
          <w:lang w:eastAsia="en-AU"/>
        </w:rPr>
        <w:t xml:space="preserve">eferrals and </w:t>
      </w:r>
      <w:r w:rsidR="009A4AB8" w:rsidRPr="00D020D3">
        <w:rPr>
          <w:rFonts w:ascii="Arial" w:hAnsi="Arial" w:cs="Arial"/>
          <w:b/>
          <w:lang w:eastAsia="en-AU"/>
        </w:rPr>
        <w:t>c</w:t>
      </w:r>
      <w:r w:rsidRPr="00D020D3">
        <w:rPr>
          <w:rFonts w:ascii="Arial" w:hAnsi="Arial" w:cs="Arial"/>
          <w:b/>
          <w:lang w:eastAsia="en-AU"/>
        </w:rPr>
        <w:t xml:space="preserve">oncurrence </w:t>
      </w:r>
    </w:p>
    <w:p w:rsidR="00FE74E6" w:rsidRPr="00D020D3" w:rsidRDefault="006C6F1C" w:rsidP="00094D99">
      <w:pPr>
        <w:tabs>
          <w:tab w:val="left" w:pos="7485"/>
        </w:tabs>
        <w:spacing w:before="60" w:after="60"/>
        <w:ind w:right="22"/>
        <w:rPr>
          <w:rFonts w:ascii="Arial" w:hAnsi="Arial" w:cs="Arial"/>
          <w:bCs/>
          <w:lang w:eastAsia="en-AU"/>
        </w:rPr>
      </w:pPr>
      <w:r w:rsidRPr="00D020D3">
        <w:rPr>
          <w:rFonts w:ascii="Arial" w:hAnsi="Arial" w:cs="Arial"/>
        </w:rPr>
        <w:t xml:space="preserve">External referrals were issued for matters which were unresolved under the original application. </w:t>
      </w:r>
      <w:r w:rsidR="001F12E0" w:rsidRPr="00D020D3">
        <w:rPr>
          <w:rFonts w:ascii="Arial" w:hAnsi="Arial" w:cs="Arial"/>
          <w:bCs/>
          <w:lang w:eastAsia="en-AU"/>
        </w:rPr>
        <w:t>The below table outlines the status of referrals to external agencies under the original and review applications.</w:t>
      </w:r>
    </w:p>
    <w:tbl>
      <w:tblPr>
        <w:tblStyle w:val="DPETable"/>
        <w:tblW w:w="90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830"/>
        <w:gridCol w:w="3551"/>
        <w:gridCol w:w="1195"/>
      </w:tblGrid>
      <w:tr w:rsidR="00FE74E6" w:rsidRPr="00D020D3" w:rsidTr="00A471D5">
        <w:trPr>
          <w:cnfStyle w:val="100000000000" w:firstRow="1" w:lastRow="0" w:firstColumn="0" w:lastColumn="0" w:oddVBand="0" w:evenVBand="0" w:oddHBand="0" w:evenHBand="0" w:firstRowFirstColumn="0" w:firstRowLastColumn="0" w:lastRowFirstColumn="0" w:lastRowLastColumn="0"/>
          <w:tblHeader/>
          <w:jc w:val="center"/>
        </w:trPr>
        <w:tc>
          <w:tcPr>
            <w:tcW w:w="1514" w:type="dxa"/>
            <w:tcBorders>
              <w:bottom w:val="none" w:sz="0" w:space="0" w:color="auto"/>
            </w:tcBorders>
            <w:shd w:val="clear" w:color="auto" w:fill="D9D9D9" w:themeFill="background1" w:themeFillShade="D9"/>
            <w:hideMark/>
          </w:tcPr>
          <w:p w:rsidR="00FE74E6" w:rsidRPr="00D020D3" w:rsidRDefault="00FE74E6" w:rsidP="00046998">
            <w:pPr>
              <w:pStyle w:val="FigureCaption"/>
              <w:spacing w:before="0" w:after="120" w:line="264" w:lineRule="auto"/>
              <w:ind w:left="0"/>
              <w:rPr>
                <w:rFonts w:ascii="Arial" w:hAnsi="Arial" w:cs="Arial"/>
                <w:b/>
                <w:bCs/>
                <w:color w:val="auto"/>
                <w:sz w:val="22"/>
                <w:szCs w:val="22"/>
              </w:rPr>
            </w:pPr>
            <w:r w:rsidRPr="00D020D3">
              <w:rPr>
                <w:rFonts w:ascii="Arial" w:hAnsi="Arial" w:cs="Arial"/>
                <w:b/>
                <w:bCs/>
                <w:color w:val="auto"/>
                <w:sz w:val="22"/>
                <w:szCs w:val="22"/>
              </w:rPr>
              <w:t>Agency</w:t>
            </w:r>
          </w:p>
        </w:tc>
        <w:tc>
          <w:tcPr>
            <w:tcW w:w="2830" w:type="dxa"/>
            <w:tcBorders>
              <w:bottom w:val="none" w:sz="0" w:space="0" w:color="auto"/>
            </w:tcBorders>
            <w:shd w:val="clear" w:color="auto" w:fill="D9D9D9" w:themeFill="background1" w:themeFillShade="D9"/>
            <w:hideMark/>
          </w:tcPr>
          <w:p w:rsidR="00FE74E6" w:rsidRPr="00D020D3" w:rsidRDefault="00FE74E6" w:rsidP="00046998">
            <w:pPr>
              <w:pStyle w:val="FigureCaption"/>
              <w:spacing w:before="0" w:after="120" w:line="264" w:lineRule="auto"/>
              <w:ind w:left="0"/>
              <w:rPr>
                <w:rFonts w:ascii="Arial" w:hAnsi="Arial" w:cs="Arial"/>
                <w:b/>
                <w:bCs/>
                <w:color w:val="auto"/>
                <w:sz w:val="22"/>
                <w:szCs w:val="22"/>
              </w:rPr>
            </w:pPr>
            <w:r w:rsidRPr="00D020D3">
              <w:rPr>
                <w:rFonts w:ascii="Arial" w:hAnsi="Arial" w:cs="Arial"/>
                <w:b/>
                <w:bCs/>
                <w:color w:val="auto"/>
                <w:sz w:val="22"/>
                <w:szCs w:val="22"/>
              </w:rPr>
              <w:t>Referral trigger</w:t>
            </w:r>
          </w:p>
        </w:tc>
        <w:tc>
          <w:tcPr>
            <w:tcW w:w="3551" w:type="dxa"/>
            <w:tcBorders>
              <w:bottom w:val="none" w:sz="0" w:space="0" w:color="auto"/>
            </w:tcBorders>
            <w:shd w:val="clear" w:color="auto" w:fill="D9D9D9" w:themeFill="background1" w:themeFillShade="D9"/>
            <w:hideMark/>
          </w:tcPr>
          <w:p w:rsidR="00FE74E6" w:rsidRPr="00D020D3" w:rsidRDefault="00FE74E6" w:rsidP="00046998">
            <w:pPr>
              <w:pStyle w:val="FigureCaption"/>
              <w:spacing w:before="0" w:after="120" w:line="264" w:lineRule="auto"/>
              <w:ind w:left="0"/>
              <w:rPr>
                <w:rFonts w:ascii="Arial" w:hAnsi="Arial" w:cs="Arial"/>
                <w:b/>
                <w:bCs/>
                <w:color w:val="auto"/>
                <w:sz w:val="22"/>
                <w:szCs w:val="22"/>
              </w:rPr>
            </w:pPr>
            <w:r w:rsidRPr="00D020D3">
              <w:rPr>
                <w:rFonts w:ascii="Arial" w:hAnsi="Arial" w:cs="Arial"/>
                <w:b/>
                <w:bCs/>
                <w:color w:val="auto"/>
                <w:sz w:val="22"/>
                <w:szCs w:val="22"/>
              </w:rPr>
              <w:t xml:space="preserve">Comments </w:t>
            </w:r>
          </w:p>
        </w:tc>
        <w:tc>
          <w:tcPr>
            <w:tcW w:w="1195" w:type="dxa"/>
            <w:tcBorders>
              <w:bottom w:val="none" w:sz="0" w:space="0" w:color="auto"/>
            </w:tcBorders>
            <w:shd w:val="clear" w:color="auto" w:fill="D9D9D9" w:themeFill="background1" w:themeFillShade="D9"/>
          </w:tcPr>
          <w:p w:rsidR="00FE74E6" w:rsidRPr="00D020D3" w:rsidRDefault="00FE74E6" w:rsidP="00046998">
            <w:pPr>
              <w:pStyle w:val="FigureCaption"/>
              <w:spacing w:before="0" w:after="120" w:line="264" w:lineRule="auto"/>
              <w:ind w:left="0"/>
              <w:rPr>
                <w:rFonts w:ascii="Arial" w:hAnsi="Arial" w:cs="Arial"/>
                <w:b/>
                <w:bCs/>
                <w:color w:val="auto"/>
                <w:sz w:val="22"/>
                <w:szCs w:val="22"/>
              </w:rPr>
            </w:pPr>
            <w:r w:rsidRPr="00D020D3">
              <w:rPr>
                <w:rFonts w:ascii="Arial" w:hAnsi="Arial" w:cs="Arial"/>
                <w:b/>
                <w:bCs/>
                <w:color w:val="auto"/>
                <w:sz w:val="22"/>
                <w:szCs w:val="22"/>
              </w:rPr>
              <w:t>Resolved</w:t>
            </w:r>
          </w:p>
        </w:tc>
      </w:tr>
    </w:tbl>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877"/>
        <w:gridCol w:w="3543"/>
        <w:gridCol w:w="1157"/>
      </w:tblGrid>
      <w:tr w:rsidR="002951D5" w:rsidRPr="00D020D3" w:rsidTr="00046998">
        <w:trPr>
          <w:trHeight w:val="1525"/>
          <w:jc w:val="center"/>
        </w:trPr>
        <w:tc>
          <w:tcPr>
            <w:tcW w:w="1513" w:type="dxa"/>
          </w:tcPr>
          <w:p w:rsidR="002951D5" w:rsidRPr="00D020D3" w:rsidRDefault="002951D5"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SA NSW</w:t>
            </w:r>
          </w:p>
        </w:tc>
        <w:tc>
          <w:tcPr>
            <w:tcW w:w="2877" w:type="dxa"/>
          </w:tcPr>
          <w:p w:rsidR="002951D5" w:rsidRPr="00D020D3" w:rsidRDefault="002951D5"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1.30 of Concept Approval</w:t>
            </w:r>
          </w:p>
          <w:p w:rsidR="002951D5" w:rsidRPr="00D020D3" w:rsidRDefault="002951D5" w:rsidP="00046998">
            <w:pPr>
              <w:pStyle w:val="FigureCaption"/>
              <w:spacing w:before="0" w:after="160"/>
              <w:ind w:left="0"/>
              <w:jc w:val="left"/>
              <w:rPr>
                <w:rFonts w:ascii="Arial" w:hAnsi="Arial" w:cs="Arial"/>
                <w:b w:val="0"/>
                <w:color w:val="00B050"/>
                <w:sz w:val="22"/>
                <w:szCs w:val="22"/>
              </w:rPr>
            </w:pPr>
          </w:p>
        </w:tc>
        <w:tc>
          <w:tcPr>
            <w:tcW w:w="3543" w:type="dxa"/>
          </w:tcPr>
          <w:p w:rsidR="00DA7D71" w:rsidRPr="00D020D3" w:rsidRDefault="001F12E0" w:rsidP="00046998">
            <w:pPr>
              <w:rPr>
                <w:rFonts w:ascii="Arial" w:hAnsi="Arial" w:cs="Arial"/>
              </w:rPr>
            </w:pPr>
            <w:r w:rsidRPr="00D020D3">
              <w:rPr>
                <w:rFonts w:ascii="Arial" w:hAnsi="Arial" w:cs="Arial"/>
              </w:rPr>
              <w:t xml:space="preserve">The applicant has liaised with SANSW directly to resolve outstanding matters for the referral. The applicant has advised an agreement has been reached. Confirmation from SANSW is being awaited. </w:t>
            </w:r>
          </w:p>
        </w:tc>
        <w:tc>
          <w:tcPr>
            <w:tcW w:w="1157" w:type="dxa"/>
          </w:tcPr>
          <w:p w:rsidR="002951D5" w:rsidRPr="00D020D3" w:rsidRDefault="00DA7D71" w:rsidP="00046998">
            <w:pPr>
              <w:pStyle w:val="FigureCaption"/>
              <w:spacing w:before="0" w:after="160"/>
              <w:ind w:left="0"/>
              <w:rPr>
                <w:rFonts w:ascii="Arial" w:hAnsi="Arial" w:cs="Arial"/>
                <w:b w:val="0"/>
                <w:color w:val="auto"/>
                <w:sz w:val="22"/>
                <w:szCs w:val="22"/>
                <w:lang w:val="en-AU"/>
              </w:rPr>
            </w:pPr>
            <w:r w:rsidRPr="00D020D3">
              <w:rPr>
                <w:rFonts w:ascii="Arial" w:hAnsi="Arial" w:cs="Arial"/>
                <w:b w:val="0"/>
                <w:color w:val="auto"/>
                <w:sz w:val="22"/>
                <w:szCs w:val="22"/>
              </w:rPr>
              <w:t>TBC</w:t>
            </w:r>
          </w:p>
        </w:tc>
      </w:tr>
      <w:tr w:rsidR="008126F5" w:rsidRPr="00D020D3" w:rsidTr="00046998">
        <w:trPr>
          <w:jc w:val="center"/>
        </w:trPr>
        <w:tc>
          <w:tcPr>
            <w:tcW w:w="1513" w:type="dxa"/>
            <w:vMerge w:val="restart"/>
            <w:shd w:val="clear" w:color="auto" w:fill="auto"/>
          </w:tcPr>
          <w:p w:rsidR="008126F5" w:rsidRPr="00D020D3" w:rsidRDefault="008126F5"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TfNSW</w:t>
            </w:r>
          </w:p>
        </w:tc>
        <w:tc>
          <w:tcPr>
            <w:tcW w:w="2877" w:type="dxa"/>
            <w:shd w:val="clear" w:color="auto" w:fill="auto"/>
          </w:tcPr>
          <w:p w:rsidR="008126F5" w:rsidRPr="00D020D3" w:rsidRDefault="008126F5"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1.31 of Concept Approval</w:t>
            </w:r>
          </w:p>
        </w:tc>
        <w:tc>
          <w:tcPr>
            <w:tcW w:w="3543" w:type="dxa"/>
            <w:vMerge w:val="restart"/>
            <w:shd w:val="clear" w:color="auto" w:fill="auto"/>
          </w:tcPr>
          <w:p w:rsidR="008126F5" w:rsidRPr="00D020D3" w:rsidRDefault="008126F5" w:rsidP="00046998">
            <w:pPr>
              <w:tabs>
                <w:tab w:val="left" w:pos="7485"/>
              </w:tabs>
              <w:spacing w:line="240" w:lineRule="auto"/>
              <w:ind w:right="23"/>
              <w:rPr>
                <w:rFonts w:ascii="Arial" w:hAnsi="Arial" w:cs="Arial"/>
                <w:bCs/>
                <w:lang w:val="en-US" w:eastAsia="en-AU"/>
              </w:rPr>
            </w:pPr>
            <w:r w:rsidRPr="00D020D3">
              <w:rPr>
                <w:rFonts w:ascii="Arial" w:hAnsi="Arial" w:cs="Arial"/>
              </w:rPr>
              <w:t xml:space="preserve">The applicant has liaised with TfNSW directly to resolve outstanding matters for the referral. Council understands that </w:t>
            </w:r>
            <w:r w:rsidR="00041DCF" w:rsidRPr="00D020D3">
              <w:rPr>
                <w:rFonts w:ascii="Arial" w:hAnsi="Arial" w:cs="Arial"/>
              </w:rPr>
              <w:t>an agreement with TfNSW has been reached.</w:t>
            </w:r>
            <w:r w:rsidRPr="00D020D3">
              <w:rPr>
                <w:rFonts w:ascii="Arial" w:hAnsi="Arial" w:cs="Arial"/>
              </w:rPr>
              <w:t xml:space="preserve"> </w:t>
            </w:r>
          </w:p>
        </w:tc>
        <w:tc>
          <w:tcPr>
            <w:tcW w:w="1157" w:type="dxa"/>
            <w:vMerge w:val="restart"/>
            <w:shd w:val="clear" w:color="auto" w:fill="auto"/>
          </w:tcPr>
          <w:p w:rsidR="008126F5" w:rsidRPr="00D020D3" w:rsidRDefault="008126F5"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TBC</w:t>
            </w:r>
          </w:p>
          <w:p w:rsidR="008126F5" w:rsidRPr="00D020D3" w:rsidRDefault="008126F5" w:rsidP="00046998">
            <w:pPr>
              <w:pStyle w:val="FigureCaption"/>
              <w:spacing w:before="0" w:after="160"/>
              <w:ind w:left="0"/>
              <w:rPr>
                <w:rFonts w:ascii="Arial" w:hAnsi="Arial" w:cs="Arial"/>
                <w:b w:val="0"/>
                <w:color w:val="auto"/>
                <w:sz w:val="22"/>
                <w:szCs w:val="22"/>
              </w:rPr>
            </w:pPr>
          </w:p>
        </w:tc>
      </w:tr>
      <w:tr w:rsidR="008126F5" w:rsidRPr="00D020D3" w:rsidTr="00046998">
        <w:trPr>
          <w:jc w:val="center"/>
        </w:trPr>
        <w:tc>
          <w:tcPr>
            <w:tcW w:w="1513" w:type="dxa"/>
            <w:vMerge/>
          </w:tcPr>
          <w:p w:rsidR="008126F5" w:rsidRPr="00D020D3" w:rsidRDefault="008126F5" w:rsidP="00046998">
            <w:pPr>
              <w:pStyle w:val="FigureCaption"/>
              <w:spacing w:before="0" w:after="160"/>
              <w:ind w:left="0"/>
              <w:jc w:val="left"/>
              <w:rPr>
                <w:rFonts w:ascii="Arial" w:hAnsi="Arial" w:cs="Arial"/>
                <w:b w:val="0"/>
                <w:color w:val="auto"/>
                <w:sz w:val="22"/>
                <w:szCs w:val="22"/>
                <w:lang w:val="en-AU"/>
              </w:rPr>
            </w:pPr>
          </w:p>
        </w:tc>
        <w:tc>
          <w:tcPr>
            <w:tcW w:w="2877" w:type="dxa"/>
          </w:tcPr>
          <w:p w:rsidR="008126F5" w:rsidRPr="00D020D3" w:rsidRDefault="008126F5"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Clause 104 – Infrastructure SEPP – traffic generating development</w:t>
            </w:r>
          </w:p>
        </w:tc>
        <w:tc>
          <w:tcPr>
            <w:tcW w:w="3543" w:type="dxa"/>
            <w:vMerge/>
          </w:tcPr>
          <w:p w:rsidR="008126F5" w:rsidRPr="00D020D3" w:rsidRDefault="008126F5" w:rsidP="00046998">
            <w:pPr>
              <w:tabs>
                <w:tab w:val="left" w:pos="7485"/>
              </w:tabs>
              <w:spacing w:line="240" w:lineRule="auto"/>
              <w:ind w:right="23"/>
              <w:rPr>
                <w:rFonts w:ascii="Arial" w:hAnsi="Arial" w:cs="Arial"/>
                <w:bCs/>
                <w:lang w:val="en-US" w:eastAsia="en-AU"/>
              </w:rPr>
            </w:pPr>
          </w:p>
        </w:tc>
        <w:tc>
          <w:tcPr>
            <w:tcW w:w="1157" w:type="dxa"/>
            <w:vMerge/>
          </w:tcPr>
          <w:p w:rsidR="008126F5" w:rsidRPr="00D020D3" w:rsidRDefault="008126F5" w:rsidP="00046998">
            <w:pPr>
              <w:pStyle w:val="FigureCaption"/>
              <w:spacing w:before="0" w:after="160"/>
              <w:ind w:left="0"/>
              <w:rPr>
                <w:rFonts w:ascii="Arial" w:hAnsi="Arial" w:cs="Arial"/>
                <w:b w:val="0"/>
                <w:color w:val="auto"/>
                <w:sz w:val="22"/>
                <w:szCs w:val="22"/>
              </w:rPr>
            </w:pPr>
          </w:p>
        </w:tc>
      </w:tr>
      <w:tr w:rsidR="00902539" w:rsidRPr="00D020D3" w:rsidTr="00046998">
        <w:trPr>
          <w:jc w:val="center"/>
        </w:trPr>
        <w:tc>
          <w:tcPr>
            <w:tcW w:w="1513" w:type="dxa"/>
          </w:tcPr>
          <w:p w:rsidR="00902539" w:rsidRPr="00D020D3" w:rsidRDefault="0090253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Biodiversity and Conservation Division (DPIE) (OEH)</w:t>
            </w:r>
          </w:p>
        </w:tc>
        <w:tc>
          <w:tcPr>
            <w:tcW w:w="2877" w:type="dxa"/>
          </w:tcPr>
          <w:p w:rsidR="00902539" w:rsidRPr="00D020D3" w:rsidRDefault="00902539" w:rsidP="00046998">
            <w:pPr>
              <w:pStyle w:val="FigureCaption"/>
              <w:spacing w:before="0" w:after="160"/>
              <w:ind w:left="0"/>
              <w:jc w:val="left"/>
              <w:rPr>
                <w:rFonts w:ascii="Arial" w:hAnsi="Arial" w:cs="Arial"/>
                <w:b w:val="0"/>
                <w:color w:val="00B050"/>
                <w:sz w:val="22"/>
                <w:szCs w:val="22"/>
              </w:rPr>
            </w:pPr>
            <w:r w:rsidRPr="00D020D3">
              <w:rPr>
                <w:rFonts w:ascii="Arial" w:hAnsi="Arial" w:cs="Arial"/>
                <w:b w:val="0"/>
                <w:color w:val="auto"/>
                <w:sz w:val="22"/>
                <w:szCs w:val="22"/>
                <w:lang w:val="en-AU"/>
              </w:rPr>
              <w:t>Condition 1.20 of Concept Plan Approval</w:t>
            </w:r>
          </w:p>
        </w:tc>
        <w:tc>
          <w:tcPr>
            <w:tcW w:w="3543" w:type="dxa"/>
          </w:tcPr>
          <w:p w:rsidR="001A6302" w:rsidRPr="00D020D3" w:rsidRDefault="00902539" w:rsidP="00094D99">
            <w:pPr>
              <w:rPr>
                <w:rFonts w:ascii="Arial" w:hAnsi="Arial" w:cs="Arial"/>
              </w:rPr>
            </w:pPr>
            <w:r w:rsidRPr="00D020D3">
              <w:rPr>
                <w:rFonts w:ascii="Arial" w:hAnsi="Arial" w:cs="Arial"/>
              </w:rPr>
              <w:t xml:space="preserve">BCD are generally </w:t>
            </w:r>
            <w:r w:rsidR="001A6302" w:rsidRPr="00D020D3">
              <w:rPr>
                <w:rFonts w:ascii="Arial" w:hAnsi="Arial" w:cs="Arial"/>
              </w:rPr>
              <w:t>supportive of the application</w:t>
            </w:r>
            <w:r w:rsidR="00094D99" w:rsidRPr="00D020D3">
              <w:rPr>
                <w:rFonts w:ascii="Arial" w:hAnsi="Arial" w:cs="Arial"/>
              </w:rPr>
              <w:t>, subject to incorporation of recommendations to mitigate construction impacts.</w:t>
            </w:r>
          </w:p>
        </w:tc>
        <w:tc>
          <w:tcPr>
            <w:tcW w:w="1157" w:type="dxa"/>
          </w:tcPr>
          <w:p w:rsidR="00902539" w:rsidRPr="00D020D3" w:rsidRDefault="00902539" w:rsidP="00046998">
            <w:pPr>
              <w:pStyle w:val="FigureCaption"/>
              <w:spacing w:before="0" w:after="160"/>
              <w:ind w:left="0"/>
              <w:rPr>
                <w:rFonts w:ascii="Arial" w:hAnsi="Arial" w:cs="Arial"/>
                <w:b w:val="0"/>
                <w:color w:val="00B050"/>
                <w:sz w:val="22"/>
                <w:szCs w:val="22"/>
              </w:rPr>
            </w:pPr>
            <w:r w:rsidRPr="00D020D3">
              <w:rPr>
                <w:rFonts w:ascii="Arial" w:hAnsi="Arial" w:cs="Arial"/>
                <w:b w:val="0"/>
                <w:color w:val="auto"/>
                <w:sz w:val="22"/>
                <w:szCs w:val="22"/>
              </w:rPr>
              <w:t>TBC</w:t>
            </w:r>
          </w:p>
        </w:tc>
      </w:tr>
      <w:tr w:rsidR="00902539" w:rsidRPr="00D020D3" w:rsidTr="00046998">
        <w:trPr>
          <w:jc w:val="center"/>
        </w:trPr>
        <w:tc>
          <w:tcPr>
            <w:tcW w:w="1513" w:type="dxa"/>
          </w:tcPr>
          <w:p w:rsidR="00902539" w:rsidRPr="00D020D3" w:rsidRDefault="0090253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Ausgrid</w:t>
            </w:r>
          </w:p>
        </w:tc>
        <w:tc>
          <w:tcPr>
            <w:tcW w:w="2877" w:type="dxa"/>
          </w:tcPr>
          <w:p w:rsidR="00902539" w:rsidRPr="00D020D3" w:rsidRDefault="0090253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Cl 45 – Infrastructure SEPP</w:t>
            </w:r>
          </w:p>
          <w:p w:rsidR="00902539" w:rsidRPr="00D020D3" w:rsidRDefault="0090253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Development near electrical infrastructure</w:t>
            </w:r>
          </w:p>
        </w:tc>
        <w:tc>
          <w:tcPr>
            <w:tcW w:w="3543" w:type="dxa"/>
          </w:tcPr>
          <w:p w:rsidR="00902539" w:rsidRPr="00D020D3" w:rsidRDefault="00094D9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Ausgrid endorsement was obtained under the original application and confirmed under the review</w:t>
            </w:r>
            <w:r w:rsidR="00902539" w:rsidRPr="00D020D3">
              <w:rPr>
                <w:rFonts w:ascii="Arial" w:hAnsi="Arial" w:cs="Arial"/>
                <w:b w:val="0"/>
                <w:color w:val="auto"/>
                <w:sz w:val="22"/>
                <w:szCs w:val="22"/>
              </w:rPr>
              <w:t>.</w:t>
            </w:r>
          </w:p>
        </w:tc>
        <w:tc>
          <w:tcPr>
            <w:tcW w:w="1157" w:type="dxa"/>
            <w:shd w:val="clear" w:color="auto" w:fill="auto"/>
          </w:tcPr>
          <w:p w:rsidR="00902539" w:rsidRPr="00D020D3" w:rsidRDefault="00902539"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Yes</w:t>
            </w:r>
          </w:p>
        </w:tc>
      </w:tr>
      <w:tr w:rsidR="00FE74E6" w:rsidRPr="00D020D3" w:rsidTr="00046998">
        <w:trPr>
          <w:jc w:val="center"/>
        </w:trPr>
        <w:tc>
          <w:tcPr>
            <w:tcW w:w="1513"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Department of Planning Secretary (DPIE)</w:t>
            </w:r>
          </w:p>
        </w:tc>
        <w:tc>
          <w:tcPr>
            <w:tcW w:w="2877" w:type="dxa"/>
          </w:tcPr>
          <w:p w:rsidR="00FE74E6" w:rsidRPr="00D020D3" w:rsidRDefault="00FE74E6"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1.16 of Concept Plan Approval</w:t>
            </w:r>
          </w:p>
        </w:tc>
        <w:tc>
          <w:tcPr>
            <w:tcW w:w="3543" w:type="dxa"/>
          </w:tcPr>
          <w:p w:rsidR="00FE74E6" w:rsidRPr="00D020D3" w:rsidRDefault="00094D99" w:rsidP="00046998">
            <w:pPr>
              <w:rPr>
                <w:rFonts w:ascii="Arial" w:hAnsi="Arial" w:cs="Arial"/>
              </w:rPr>
            </w:pPr>
            <w:r w:rsidRPr="00D020D3">
              <w:rPr>
                <w:rFonts w:ascii="Arial" w:hAnsi="Arial" w:cs="Arial"/>
              </w:rPr>
              <w:t>This matter was satisfied under the original application and does not require further referrals.</w:t>
            </w:r>
          </w:p>
        </w:tc>
        <w:tc>
          <w:tcPr>
            <w:tcW w:w="1157" w:type="dxa"/>
          </w:tcPr>
          <w:p w:rsidR="00FE74E6" w:rsidRPr="00D020D3" w:rsidRDefault="00FE74E6"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Y</w:t>
            </w:r>
            <w:r w:rsidR="00902539" w:rsidRPr="00D020D3">
              <w:rPr>
                <w:rFonts w:ascii="Arial" w:hAnsi="Arial" w:cs="Arial"/>
                <w:b w:val="0"/>
                <w:color w:val="auto"/>
                <w:sz w:val="22"/>
                <w:szCs w:val="22"/>
              </w:rPr>
              <w:t>es</w:t>
            </w:r>
          </w:p>
        </w:tc>
      </w:tr>
      <w:tr w:rsidR="00915B44" w:rsidRPr="00D020D3" w:rsidTr="00046998">
        <w:trPr>
          <w:jc w:val="center"/>
        </w:trPr>
        <w:tc>
          <w:tcPr>
            <w:tcW w:w="1513" w:type="dxa"/>
            <w:vMerge w:val="restart"/>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Heritage NSW</w:t>
            </w:r>
          </w:p>
        </w:tc>
        <w:tc>
          <w:tcPr>
            <w:tcW w:w="2877" w:type="dxa"/>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1.35 of Concept Approval</w:t>
            </w:r>
          </w:p>
        </w:tc>
        <w:tc>
          <w:tcPr>
            <w:tcW w:w="3543" w:type="dxa"/>
            <w:vMerge w:val="restart"/>
          </w:tcPr>
          <w:p w:rsidR="00915B44" w:rsidRPr="00D020D3" w:rsidRDefault="00094D99" w:rsidP="00046998">
            <w:pPr>
              <w:rPr>
                <w:rFonts w:ascii="Arial" w:hAnsi="Arial" w:cs="Arial"/>
              </w:rPr>
            </w:pPr>
            <w:r w:rsidRPr="00D020D3">
              <w:rPr>
                <w:rFonts w:ascii="Arial" w:hAnsi="Arial" w:cs="Arial"/>
              </w:rPr>
              <w:t>This matter was satisfied under the original application and does not require further referrals.</w:t>
            </w:r>
          </w:p>
        </w:tc>
        <w:tc>
          <w:tcPr>
            <w:tcW w:w="1157" w:type="dxa"/>
            <w:vMerge w:val="restart"/>
          </w:tcPr>
          <w:p w:rsidR="00915B44" w:rsidRPr="00D020D3" w:rsidRDefault="00915B44"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Yes</w:t>
            </w:r>
          </w:p>
        </w:tc>
      </w:tr>
      <w:tr w:rsidR="00915B44" w:rsidRPr="00D020D3" w:rsidTr="00046998">
        <w:trPr>
          <w:jc w:val="center"/>
        </w:trPr>
        <w:tc>
          <w:tcPr>
            <w:tcW w:w="1513" w:type="dxa"/>
            <w:vMerge/>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p>
        </w:tc>
        <w:tc>
          <w:tcPr>
            <w:tcW w:w="2877" w:type="dxa"/>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1.36 of Concept Approval</w:t>
            </w:r>
          </w:p>
        </w:tc>
        <w:tc>
          <w:tcPr>
            <w:tcW w:w="3543" w:type="dxa"/>
            <w:vMerge/>
          </w:tcPr>
          <w:p w:rsidR="00915B44" w:rsidRPr="00D020D3" w:rsidRDefault="00915B44" w:rsidP="00046998">
            <w:pPr>
              <w:rPr>
                <w:rFonts w:ascii="Arial" w:hAnsi="Arial" w:cs="Arial"/>
              </w:rPr>
            </w:pPr>
          </w:p>
        </w:tc>
        <w:tc>
          <w:tcPr>
            <w:tcW w:w="1157" w:type="dxa"/>
            <w:vMerge/>
          </w:tcPr>
          <w:p w:rsidR="00915B44" w:rsidRPr="00D020D3" w:rsidRDefault="00915B44" w:rsidP="00046998">
            <w:pPr>
              <w:pStyle w:val="FigureCaption"/>
              <w:spacing w:before="0" w:after="160"/>
              <w:ind w:left="0"/>
              <w:rPr>
                <w:rFonts w:ascii="Arial" w:hAnsi="Arial" w:cs="Arial"/>
                <w:b w:val="0"/>
                <w:color w:val="auto"/>
                <w:sz w:val="22"/>
                <w:szCs w:val="22"/>
              </w:rPr>
            </w:pPr>
          </w:p>
        </w:tc>
      </w:tr>
      <w:tr w:rsidR="00915B44" w:rsidRPr="00D020D3" w:rsidTr="00046998">
        <w:trPr>
          <w:jc w:val="center"/>
        </w:trPr>
        <w:tc>
          <w:tcPr>
            <w:tcW w:w="1513" w:type="dxa"/>
            <w:vMerge/>
          </w:tcPr>
          <w:p w:rsidR="00915B44" w:rsidRPr="00D020D3" w:rsidRDefault="00915B44" w:rsidP="00046998">
            <w:pPr>
              <w:pStyle w:val="FigureCaption"/>
              <w:spacing w:before="0" w:after="160"/>
              <w:ind w:left="0"/>
              <w:jc w:val="left"/>
              <w:rPr>
                <w:rFonts w:ascii="Arial" w:hAnsi="Arial" w:cs="Arial"/>
                <w:b w:val="0"/>
                <w:color w:val="auto"/>
                <w:sz w:val="22"/>
                <w:szCs w:val="22"/>
              </w:rPr>
            </w:pPr>
          </w:p>
        </w:tc>
        <w:tc>
          <w:tcPr>
            <w:tcW w:w="2877" w:type="dxa"/>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1.37 of Concept Approval</w:t>
            </w:r>
          </w:p>
        </w:tc>
        <w:tc>
          <w:tcPr>
            <w:tcW w:w="3543" w:type="dxa"/>
            <w:vMerge/>
          </w:tcPr>
          <w:p w:rsidR="00915B44" w:rsidRPr="00D020D3" w:rsidRDefault="00915B44" w:rsidP="00046998">
            <w:pPr>
              <w:rPr>
                <w:rFonts w:ascii="Arial" w:hAnsi="Arial" w:cs="Arial"/>
              </w:rPr>
            </w:pPr>
          </w:p>
        </w:tc>
        <w:tc>
          <w:tcPr>
            <w:tcW w:w="1157" w:type="dxa"/>
            <w:vMerge/>
            <w:shd w:val="clear" w:color="auto" w:fill="auto"/>
          </w:tcPr>
          <w:p w:rsidR="00915B44" w:rsidRPr="00D020D3" w:rsidRDefault="00915B44" w:rsidP="00046998">
            <w:pPr>
              <w:pStyle w:val="FigureCaption"/>
              <w:spacing w:before="0" w:after="160"/>
              <w:ind w:left="0"/>
              <w:rPr>
                <w:rFonts w:ascii="Arial" w:hAnsi="Arial" w:cs="Arial"/>
                <w:b w:val="0"/>
                <w:color w:val="auto"/>
                <w:sz w:val="22"/>
                <w:szCs w:val="22"/>
              </w:rPr>
            </w:pPr>
          </w:p>
        </w:tc>
      </w:tr>
      <w:tr w:rsidR="00915B44" w:rsidRPr="00D020D3" w:rsidTr="00046998">
        <w:trPr>
          <w:jc w:val="center"/>
        </w:trPr>
        <w:tc>
          <w:tcPr>
            <w:tcW w:w="1513" w:type="dxa"/>
            <w:vMerge/>
          </w:tcPr>
          <w:p w:rsidR="00915B44" w:rsidRPr="00D020D3" w:rsidRDefault="00915B44" w:rsidP="00046998">
            <w:pPr>
              <w:pStyle w:val="FigureCaption"/>
              <w:spacing w:before="0" w:after="160"/>
              <w:ind w:left="0"/>
              <w:jc w:val="left"/>
              <w:rPr>
                <w:rFonts w:ascii="Arial" w:hAnsi="Arial" w:cs="Arial"/>
                <w:b w:val="0"/>
                <w:color w:val="auto"/>
                <w:sz w:val="22"/>
                <w:szCs w:val="22"/>
              </w:rPr>
            </w:pPr>
          </w:p>
        </w:tc>
        <w:tc>
          <w:tcPr>
            <w:tcW w:w="2877" w:type="dxa"/>
          </w:tcPr>
          <w:p w:rsidR="00915B44" w:rsidRPr="00D020D3" w:rsidRDefault="00915B44"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1.38 of Concept Approval</w:t>
            </w:r>
          </w:p>
        </w:tc>
        <w:tc>
          <w:tcPr>
            <w:tcW w:w="3543" w:type="dxa"/>
            <w:vMerge/>
          </w:tcPr>
          <w:p w:rsidR="00915B44" w:rsidRPr="00D020D3" w:rsidRDefault="00915B44" w:rsidP="00046998">
            <w:pPr>
              <w:rPr>
                <w:rFonts w:ascii="Arial" w:hAnsi="Arial" w:cs="Arial"/>
              </w:rPr>
            </w:pPr>
          </w:p>
        </w:tc>
        <w:tc>
          <w:tcPr>
            <w:tcW w:w="1157" w:type="dxa"/>
            <w:vMerge/>
            <w:shd w:val="clear" w:color="auto" w:fill="auto"/>
          </w:tcPr>
          <w:p w:rsidR="00915B44" w:rsidRPr="00D020D3" w:rsidRDefault="00915B44" w:rsidP="00046998">
            <w:pPr>
              <w:pStyle w:val="FigureCaption"/>
              <w:spacing w:before="0" w:after="160"/>
              <w:ind w:left="0"/>
              <w:rPr>
                <w:rFonts w:ascii="Arial" w:hAnsi="Arial" w:cs="Arial"/>
                <w:b w:val="0"/>
                <w:color w:val="auto"/>
                <w:sz w:val="22"/>
                <w:szCs w:val="22"/>
              </w:rPr>
            </w:pPr>
          </w:p>
        </w:tc>
      </w:tr>
      <w:tr w:rsidR="00FE74E6" w:rsidRPr="00D020D3" w:rsidTr="00046998">
        <w:trPr>
          <w:jc w:val="center"/>
        </w:trPr>
        <w:tc>
          <w:tcPr>
            <w:tcW w:w="1513"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NSW RFS</w:t>
            </w:r>
          </w:p>
        </w:tc>
        <w:tc>
          <w:tcPr>
            <w:tcW w:w="2877" w:type="dxa"/>
          </w:tcPr>
          <w:p w:rsidR="00FE74E6" w:rsidRPr="00D020D3" w:rsidRDefault="00FE74E6" w:rsidP="00046998">
            <w:pPr>
              <w:pStyle w:val="FigureCaption"/>
              <w:spacing w:before="0" w:after="160"/>
              <w:ind w:left="0"/>
              <w:jc w:val="left"/>
              <w:rPr>
                <w:rFonts w:ascii="Arial" w:hAnsi="Arial" w:cs="Arial"/>
                <w:b w:val="0"/>
                <w:color w:val="auto"/>
                <w:sz w:val="22"/>
                <w:szCs w:val="22"/>
                <w:lang w:val="en-AU"/>
              </w:rPr>
            </w:pPr>
            <w:r w:rsidRPr="00D020D3">
              <w:rPr>
                <w:rFonts w:ascii="Arial" w:hAnsi="Arial" w:cs="Arial"/>
                <w:b w:val="0"/>
                <w:color w:val="auto"/>
                <w:sz w:val="22"/>
                <w:szCs w:val="22"/>
                <w:lang w:val="en-AU"/>
              </w:rPr>
              <w:t>Condition 1.45 of Concept Approval</w:t>
            </w:r>
          </w:p>
        </w:tc>
        <w:tc>
          <w:tcPr>
            <w:tcW w:w="3543" w:type="dxa"/>
          </w:tcPr>
          <w:p w:rsidR="001A6302" w:rsidRPr="00D020D3" w:rsidRDefault="00094D99" w:rsidP="00094D99">
            <w:pPr>
              <w:tabs>
                <w:tab w:val="left" w:pos="7485"/>
              </w:tabs>
              <w:spacing w:line="240" w:lineRule="auto"/>
              <w:ind w:right="23"/>
              <w:rPr>
                <w:rFonts w:ascii="Arial" w:hAnsi="Arial" w:cs="Arial"/>
                <w:bCs/>
                <w:lang w:val="en-US" w:eastAsia="en-AU"/>
              </w:rPr>
            </w:pPr>
            <w:r w:rsidRPr="00D020D3">
              <w:rPr>
                <w:rFonts w:ascii="Arial" w:hAnsi="Arial" w:cs="Arial"/>
                <w:bCs/>
                <w:lang w:val="en-US" w:eastAsia="en-AU"/>
              </w:rPr>
              <w:t xml:space="preserve">The review application was forwarded to NSW RFS, who specified the previous General </w:t>
            </w:r>
            <w:r w:rsidRPr="00D020D3">
              <w:rPr>
                <w:rFonts w:ascii="Arial" w:hAnsi="Arial" w:cs="Arial"/>
                <w:bCs/>
                <w:lang w:val="en-US" w:eastAsia="en-AU"/>
              </w:rPr>
              <w:lastRenderedPageBreak/>
              <w:t>Terms of Approval continue to apply.</w:t>
            </w:r>
          </w:p>
        </w:tc>
        <w:tc>
          <w:tcPr>
            <w:tcW w:w="1157" w:type="dxa"/>
            <w:shd w:val="clear" w:color="auto" w:fill="auto"/>
          </w:tcPr>
          <w:p w:rsidR="00FE74E6" w:rsidRPr="00D020D3" w:rsidRDefault="001A6302"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lastRenderedPageBreak/>
              <w:t>TBC</w:t>
            </w:r>
          </w:p>
        </w:tc>
      </w:tr>
      <w:tr w:rsidR="00FE74E6" w:rsidRPr="00D020D3" w:rsidTr="00046998">
        <w:trPr>
          <w:jc w:val="center"/>
        </w:trPr>
        <w:tc>
          <w:tcPr>
            <w:tcW w:w="1513"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lang w:val="en-AU"/>
              </w:rPr>
              <w:t>Transgrid</w:t>
            </w:r>
          </w:p>
        </w:tc>
        <w:tc>
          <w:tcPr>
            <w:tcW w:w="2877"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lang w:val="en-AU"/>
              </w:rPr>
              <w:t>Condition 1.47 of Concept Approval</w:t>
            </w:r>
          </w:p>
        </w:tc>
        <w:tc>
          <w:tcPr>
            <w:tcW w:w="3543" w:type="dxa"/>
          </w:tcPr>
          <w:p w:rsidR="00FE74E6" w:rsidRPr="00D020D3" w:rsidRDefault="00094D99" w:rsidP="00046998">
            <w:pPr>
              <w:pStyle w:val="FigureCaption"/>
              <w:spacing w:before="0" w:after="160"/>
              <w:ind w:left="0"/>
              <w:jc w:val="left"/>
              <w:rPr>
                <w:rFonts w:ascii="Arial" w:hAnsi="Arial" w:cs="Arial"/>
                <w:b w:val="0"/>
                <w:color w:val="auto"/>
                <w:sz w:val="22"/>
                <w:szCs w:val="22"/>
              </w:rPr>
            </w:pPr>
            <w:proofErr w:type="spellStart"/>
            <w:r w:rsidRPr="00D020D3">
              <w:rPr>
                <w:rFonts w:ascii="Arial" w:hAnsi="Arial" w:cs="Arial"/>
                <w:b w:val="0"/>
                <w:color w:val="auto"/>
                <w:sz w:val="22"/>
                <w:szCs w:val="22"/>
              </w:rPr>
              <w:t>Transgrid</w:t>
            </w:r>
            <w:proofErr w:type="spellEnd"/>
            <w:r w:rsidRPr="00D020D3">
              <w:rPr>
                <w:rFonts w:ascii="Arial" w:hAnsi="Arial" w:cs="Arial"/>
                <w:b w:val="0"/>
                <w:color w:val="auto"/>
                <w:sz w:val="22"/>
                <w:szCs w:val="22"/>
              </w:rPr>
              <w:t xml:space="preserve"> endorsement was obtained under the original application and confirmed under the review.</w:t>
            </w:r>
          </w:p>
        </w:tc>
        <w:tc>
          <w:tcPr>
            <w:tcW w:w="1157" w:type="dxa"/>
          </w:tcPr>
          <w:p w:rsidR="00FE74E6" w:rsidRPr="00D020D3" w:rsidRDefault="00FE74E6"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Y</w:t>
            </w:r>
            <w:r w:rsidR="000B0037" w:rsidRPr="00D020D3">
              <w:rPr>
                <w:rFonts w:ascii="Arial" w:hAnsi="Arial" w:cs="Arial"/>
                <w:b w:val="0"/>
                <w:color w:val="auto"/>
                <w:sz w:val="22"/>
                <w:szCs w:val="22"/>
              </w:rPr>
              <w:t>es</w:t>
            </w:r>
          </w:p>
        </w:tc>
      </w:tr>
    </w:tbl>
    <w:p w:rsidR="00FE74E6" w:rsidRPr="00D020D3" w:rsidRDefault="00FE74E6" w:rsidP="00FE74E6">
      <w:pPr>
        <w:tabs>
          <w:tab w:val="left" w:pos="7485"/>
        </w:tabs>
        <w:spacing w:line="240" w:lineRule="auto"/>
        <w:ind w:right="23"/>
        <w:rPr>
          <w:rFonts w:ascii="Arial" w:hAnsi="Arial" w:cs="Arial"/>
          <w:b/>
          <w:lang w:eastAsia="en-AU"/>
        </w:rPr>
      </w:pPr>
    </w:p>
    <w:p w:rsidR="00FE74E6" w:rsidRPr="00D020D3" w:rsidRDefault="00FE74E6" w:rsidP="00FE74E6">
      <w:pPr>
        <w:tabs>
          <w:tab w:val="left" w:pos="7485"/>
        </w:tabs>
        <w:spacing w:line="240" w:lineRule="auto"/>
        <w:ind w:right="23"/>
        <w:rPr>
          <w:rFonts w:ascii="Arial" w:hAnsi="Arial" w:cs="Arial"/>
          <w:b/>
          <w:lang w:eastAsia="en-AU"/>
        </w:rPr>
      </w:pPr>
      <w:r w:rsidRPr="00D020D3">
        <w:rPr>
          <w:rFonts w:ascii="Arial" w:hAnsi="Arial" w:cs="Arial"/>
          <w:b/>
          <w:lang w:eastAsia="en-AU"/>
        </w:rPr>
        <w:t>3.2 Council referrals</w:t>
      </w:r>
    </w:p>
    <w:p w:rsidR="00FE74E6" w:rsidRPr="00D020D3" w:rsidRDefault="00FE74E6" w:rsidP="002951D5">
      <w:pPr>
        <w:spacing w:line="240" w:lineRule="auto"/>
        <w:rPr>
          <w:rFonts w:ascii="Arial" w:hAnsi="Arial" w:cs="Arial"/>
          <w:bCs/>
          <w:lang w:eastAsia="en-AU"/>
        </w:rPr>
      </w:pPr>
      <w:r w:rsidRPr="00D020D3">
        <w:rPr>
          <w:rFonts w:ascii="Arial" w:hAnsi="Arial" w:cs="Arial"/>
          <w:bCs/>
          <w:lang w:eastAsia="en-AU"/>
        </w:rPr>
        <w:t xml:space="preserve">The </w:t>
      </w:r>
      <w:r w:rsidR="009F5B69" w:rsidRPr="00D020D3">
        <w:rPr>
          <w:rFonts w:ascii="Arial" w:hAnsi="Arial" w:cs="Arial"/>
          <w:bCs/>
          <w:lang w:eastAsia="en-AU"/>
        </w:rPr>
        <w:t>review</w:t>
      </w:r>
      <w:r w:rsidRPr="00D020D3">
        <w:rPr>
          <w:rFonts w:ascii="Arial" w:hAnsi="Arial" w:cs="Arial"/>
          <w:bCs/>
          <w:lang w:eastAsia="en-AU"/>
        </w:rPr>
        <w:t xml:space="preserve"> application has been referred to various Council officers for technical review as outlined below.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898"/>
        <w:gridCol w:w="1195"/>
      </w:tblGrid>
      <w:tr w:rsidR="005F4F6C" w:rsidRPr="00D020D3" w:rsidTr="002D6387">
        <w:trPr>
          <w:jc w:val="center"/>
        </w:trPr>
        <w:tc>
          <w:tcPr>
            <w:tcW w:w="2116" w:type="dxa"/>
            <w:shd w:val="clear" w:color="auto" w:fill="F2F2F2" w:themeFill="background1" w:themeFillShade="F2"/>
          </w:tcPr>
          <w:p w:rsidR="005F4F6C" w:rsidRPr="00D020D3" w:rsidRDefault="005F4F6C" w:rsidP="005F4F6C">
            <w:pPr>
              <w:pStyle w:val="FigureCaption"/>
              <w:spacing w:before="0" w:after="160"/>
              <w:ind w:left="0"/>
              <w:rPr>
                <w:rFonts w:ascii="Arial" w:hAnsi="Arial" w:cs="Arial"/>
                <w:color w:val="auto"/>
                <w:sz w:val="22"/>
                <w:szCs w:val="22"/>
              </w:rPr>
            </w:pPr>
            <w:r w:rsidRPr="00D020D3">
              <w:rPr>
                <w:rFonts w:ascii="Arial" w:hAnsi="Arial" w:cs="Arial"/>
                <w:color w:val="auto"/>
                <w:sz w:val="22"/>
                <w:szCs w:val="22"/>
              </w:rPr>
              <w:t>Officer</w:t>
            </w:r>
          </w:p>
        </w:tc>
        <w:tc>
          <w:tcPr>
            <w:tcW w:w="5898" w:type="dxa"/>
            <w:shd w:val="clear" w:color="auto" w:fill="F2F2F2" w:themeFill="background1" w:themeFillShade="F2"/>
          </w:tcPr>
          <w:p w:rsidR="005F4F6C" w:rsidRPr="00D020D3" w:rsidRDefault="005F4F6C" w:rsidP="005F4F6C">
            <w:pPr>
              <w:pStyle w:val="FigureCaption"/>
              <w:spacing w:before="0" w:after="160"/>
              <w:ind w:left="0"/>
              <w:rPr>
                <w:rFonts w:ascii="Arial" w:hAnsi="Arial" w:cs="Arial"/>
                <w:color w:val="auto"/>
                <w:sz w:val="22"/>
                <w:szCs w:val="22"/>
              </w:rPr>
            </w:pPr>
            <w:r w:rsidRPr="00D020D3">
              <w:rPr>
                <w:rFonts w:ascii="Arial" w:hAnsi="Arial" w:cs="Arial"/>
                <w:color w:val="auto"/>
                <w:sz w:val="22"/>
                <w:szCs w:val="22"/>
              </w:rPr>
              <w:t>Comments</w:t>
            </w:r>
          </w:p>
        </w:tc>
        <w:tc>
          <w:tcPr>
            <w:tcW w:w="1195" w:type="dxa"/>
            <w:shd w:val="clear" w:color="auto" w:fill="F2F2F2" w:themeFill="background1" w:themeFillShade="F2"/>
          </w:tcPr>
          <w:p w:rsidR="005F4F6C" w:rsidRPr="00D020D3" w:rsidRDefault="005F4F6C" w:rsidP="005F4F6C">
            <w:pPr>
              <w:pStyle w:val="FigureCaption"/>
              <w:spacing w:before="0" w:after="160"/>
              <w:ind w:left="0"/>
              <w:rPr>
                <w:rFonts w:ascii="Arial" w:hAnsi="Arial" w:cs="Arial"/>
                <w:color w:val="auto"/>
                <w:sz w:val="22"/>
                <w:szCs w:val="22"/>
              </w:rPr>
            </w:pPr>
            <w:r w:rsidRPr="00D020D3">
              <w:rPr>
                <w:rFonts w:ascii="Arial" w:hAnsi="Arial" w:cs="Arial"/>
                <w:color w:val="auto"/>
                <w:sz w:val="22"/>
                <w:szCs w:val="22"/>
              </w:rPr>
              <w:t>Resol</w:t>
            </w:r>
            <w:r w:rsidR="002D6387" w:rsidRPr="00D020D3">
              <w:rPr>
                <w:rFonts w:ascii="Arial" w:hAnsi="Arial" w:cs="Arial"/>
                <w:color w:val="auto"/>
                <w:sz w:val="22"/>
                <w:szCs w:val="22"/>
              </w:rPr>
              <w:t>ved</w:t>
            </w:r>
          </w:p>
        </w:tc>
      </w:tr>
      <w:tr w:rsidR="00FE74E6" w:rsidRPr="00D020D3" w:rsidTr="002D6387">
        <w:trPr>
          <w:jc w:val="center"/>
        </w:trPr>
        <w:tc>
          <w:tcPr>
            <w:tcW w:w="2116"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Ecology</w:t>
            </w:r>
          </w:p>
        </w:tc>
        <w:tc>
          <w:tcPr>
            <w:tcW w:w="5898" w:type="dxa"/>
          </w:tcPr>
          <w:p w:rsidR="00CC3C6A" w:rsidRPr="00D020D3" w:rsidRDefault="00094D9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Several referrals have been initiated to resolve flora and fauna matters for the application. Further information has been requested regarding the sufficiency of survey efforts for koalas and scrub turpentine. A referral response is currently being awaited.</w:t>
            </w:r>
          </w:p>
          <w:p w:rsidR="00094D99" w:rsidRPr="00D020D3" w:rsidRDefault="00094D99"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The application is considered otherwise satisfactory regarding ecological impacts.</w:t>
            </w:r>
          </w:p>
        </w:tc>
        <w:tc>
          <w:tcPr>
            <w:tcW w:w="1195" w:type="dxa"/>
            <w:shd w:val="clear" w:color="auto" w:fill="auto"/>
          </w:tcPr>
          <w:p w:rsidR="00FE74E6" w:rsidRPr="00D020D3" w:rsidRDefault="00CC3C6A"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No</w:t>
            </w:r>
          </w:p>
        </w:tc>
      </w:tr>
      <w:tr w:rsidR="00F10C8C" w:rsidRPr="00D020D3" w:rsidTr="002D6387">
        <w:trPr>
          <w:jc w:val="center"/>
        </w:trPr>
        <w:tc>
          <w:tcPr>
            <w:tcW w:w="2116" w:type="dxa"/>
          </w:tcPr>
          <w:p w:rsidR="00F10C8C" w:rsidRPr="00D020D3" w:rsidRDefault="00F10C8C" w:rsidP="00F10C8C">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Engineer</w:t>
            </w:r>
          </w:p>
        </w:tc>
        <w:tc>
          <w:tcPr>
            <w:tcW w:w="5898" w:type="dxa"/>
          </w:tcPr>
          <w:p w:rsidR="00F10C8C" w:rsidRPr="00D020D3" w:rsidRDefault="00094D99" w:rsidP="00F10C8C">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Referral response received identifying several matters requiring additional information. This has been requested from the applicant.</w:t>
            </w:r>
          </w:p>
        </w:tc>
        <w:tc>
          <w:tcPr>
            <w:tcW w:w="1195" w:type="dxa"/>
            <w:shd w:val="clear" w:color="auto" w:fill="auto"/>
          </w:tcPr>
          <w:p w:rsidR="00F10C8C" w:rsidRPr="00D020D3" w:rsidRDefault="00094D99" w:rsidP="00F10C8C">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No</w:t>
            </w:r>
          </w:p>
        </w:tc>
      </w:tr>
      <w:tr w:rsidR="00F10C8C" w:rsidRPr="00D020D3" w:rsidTr="002D6387">
        <w:trPr>
          <w:jc w:val="center"/>
        </w:trPr>
        <w:tc>
          <w:tcPr>
            <w:tcW w:w="2116" w:type="dxa"/>
          </w:tcPr>
          <w:p w:rsidR="00F10C8C" w:rsidRPr="00D020D3" w:rsidRDefault="00F10C8C" w:rsidP="00F10C8C">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Traffic</w:t>
            </w:r>
          </w:p>
        </w:tc>
        <w:tc>
          <w:tcPr>
            <w:tcW w:w="5898" w:type="dxa"/>
          </w:tcPr>
          <w:p w:rsidR="00F10C8C" w:rsidRPr="00D020D3" w:rsidRDefault="00F10C8C" w:rsidP="00F10C8C">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Awaiting referral response</w:t>
            </w:r>
          </w:p>
        </w:tc>
        <w:tc>
          <w:tcPr>
            <w:tcW w:w="1195" w:type="dxa"/>
            <w:shd w:val="clear" w:color="auto" w:fill="auto"/>
          </w:tcPr>
          <w:p w:rsidR="00F10C8C" w:rsidRPr="00D020D3" w:rsidRDefault="00F10C8C" w:rsidP="00F10C8C">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TBC</w:t>
            </w:r>
          </w:p>
        </w:tc>
      </w:tr>
      <w:tr w:rsidR="002951D5" w:rsidRPr="00D020D3" w:rsidTr="002D6387">
        <w:trPr>
          <w:jc w:val="center"/>
        </w:trPr>
        <w:tc>
          <w:tcPr>
            <w:tcW w:w="2116" w:type="dxa"/>
          </w:tcPr>
          <w:p w:rsidR="002951D5" w:rsidRPr="00D020D3" w:rsidRDefault="002951D5"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 xml:space="preserve">Environmental </w:t>
            </w:r>
            <w:r w:rsidR="0036331B" w:rsidRPr="00D020D3">
              <w:rPr>
                <w:rFonts w:ascii="Arial" w:hAnsi="Arial" w:cs="Arial"/>
                <w:b w:val="0"/>
                <w:color w:val="auto"/>
                <w:sz w:val="22"/>
                <w:szCs w:val="22"/>
              </w:rPr>
              <w:t>m</w:t>
            </w:r>
            <w:r w:rsidRPr="00D020D3">
              <w:rPr>
                <w:rFonts w:ascii="Arial" w:hAnsi="Arial" w:cs="Arial"/>
                <w:b w:val="0"/>
                <w:color w:val="auto"/>
                <w:sz w:val="22"/>
                <w:szCs w:val="22"/>
              </w:rPr>
              <w:t xml:space="preserve">anagement </w:t>
            </w:r>
          </w:p>
          <w:p w:rsidR="002951D5" w:rsidRPr="00D020D3" w:rsidRDefault="002951D5"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(contamination, acoustic impact)</w:t>
            </w:r>
          </w:p>
        </w:tc>
        <w:tc>
          <w:tcPr>
            <w:tcW w:w="5898" w:type="dxa"/>
          </w:tcPr>
          <w:p w:rsidR="002951D5" w:rsidRPr="00D020D3" w:rsidRDefault="0069521A"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Confirmation has been obtained that the proposed remediation works are satisfactory, subject to imposition of a condition requiring a site audit.</w:t>
            </w:r>
          </w:p>
          <w:p w:rsidR="0069521A" w:rsidRPr="00D020D3" w:rsidRDefault="0069521A"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Further comment is being awaited with regard to noise assessment</w:t>
            </w:r>
          </w:p>
        </w:tc>
        <w:tc>
          <w:tcPr>
            <w:tcW w:w="1195" w:type="dxa"/>
          </w:tcPr>
          <w:p w:rsidR="002951D5" w:rsidRPr="00D020D3" w:rsidRDefault="002951D5" w:rsidP="002951D5">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TBC</w:t>
            </w:r>
          </w:p>
        </w:tc>
      </w:tr>
      <w:tr w:rsidR="0036331B" w:rsidRPr="00D020D3" w:rsidTr="002D6387">
        <w:trPr>
          <w:jc w:val="center"/>
        </w:trPr>
        <w:tc>
          <w:tcPr>
            <w:tcW w:w="2116" w:type="dxa"/>
          </w:tcPr>
          <w:p w:rsidR="0036331B" w:rsidRPr="00D020D3" w:rsidRDefault="0036331B"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Air quality</w:t>
            </w:r>
          </w:p>
        </w:tc>
        <w:tc>
          <w:tcPr>
            <w:tcW w:w="5898" w:type="dxa"/>
          </w:tcPr>
          <w:p w:rsidR="0036331B" w:rsidRPr="00D020D3" w:rsidRDefault="0069521A" w:rsidP="002951D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Further information has been requested from the applicant regarding the assessment methods for the air quality report.</w:t>
            </w:r>
          </w:p>
        </w:tc>
        <w:tc>
          <w:tcPr>
            <w:tcW w:w="1195" w:type="dxa"/>
          </w:tcPr>
          <w:p w:rsidR="0036331B" w:rsidRPr="00D020D3" w:rsidRDefault="0069521A" w:rsidP="002951D5">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No</w:t>
            </w:r>
          </w:p>
        </w:tc>
      </w:tr>
      <w:tr w:rsidR="00467E45" w:rsidRPr="00D020D3" w:rsidTr="002D6387">
        <w:trPr>
          <w:jc w:val="center"/>
        </w:trPr>
        <w:tc>
          <w:tcPr>
            <w:tcW w:w="2116" w:type="dxa"/>
          </w:tcPr>
          <w:p w:rsidR="00467E45" w:rsidRPr="00D020D3" w:rsidRDefault="00467E45" w:rsidP="00467E4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Asset Management – Parks and Community Land</w:t>
            </w:r>
          </w:p>
        </w:tc>
        <w:tc>
          <w:tcPr>
            <w:tcW w:w="5898" w:type="dxa"/>
          </w:tcPr>
          <w:p w:rsidR="00467E45" w:rsidRPr="00D020D3" w:rsidRDefault="00467E45" w:rsidP="00467E45">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Awaiting referral response</w:t>
            </w:r>
          </w:p>
        </w:tc>
        <w:tc>
          <w:tcPr>
            <w:tcW w:w="1195" w:type="dxa"/>
          </w:tcPr>
          <w:p w:rsidR="00467E45" w:rsidRPr="00D020D3" w:rsidRDefault="00467E45" w:rsidP="00467E45">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TBC</w:t>
            </w:r>
          </w:p>
        </w:tc>
      </w:tr>
      <w:tr w:rsidR="00FE74E6" w:rsidRPr="00D020D3" w:rsidTr="002D6387">
        <w:trPr>
          <w:jc w:val="center"/>
        </w:trPr>
        <w:tc>
          <w:tcPr>
            <w:tcW w:w="2116" w:type="dxa"/>
          </w:tcPr>
          <w:p w:rsidR="00FE74E6" w:rsidRPr="00D020D3" w:rsidRDefault="00FE74E6" w:rsidP="00046998">
            <w:pPr>
              <w:pStyle w:val="FigureCaption"/>
              <w:spacing w:before="0" w:after="160"/>
              <w:ind w:left="0"/>
              <w:jc w:val="left"/>
              <w:rPr>
                <w:rFonts w:ascii="Arial" w:hAnsi="Arial" w:cs="Arial"/>
                <w:b w:val="0"/>
                <w:color w:val="auto"/>
                <w:sz w:val="22"/>
                <w:szCs w:val="22"/>
              </w:rPr>
            </w:pPr>
            <w:r w:rsidRPr="00D020D3">
              <w:rPr>
                <w:rFonts w:ascii="Arial" w:hAnsi="Arial" w:cs="Arial"/>
                <w:b w:val="0"/>
                <w:color w:val="auto"/>
                <w:sz w:val="22"/>
                <w:szCs w:val="22"/>
              </w:rPr>
              <w:t>Landscape Architect</w:t>
            </w:r>
          </w:p>
        </w:tc>
        <w:tc>
          <w:tcPr>
            <w:tcW w:w="5898" w:type="dxa"/>
          </w:tcPr>
          <w:p w:rsidR="00FE74E6" w:rsidRPr="00D020D3" w:rsidRDefault="009F5B69" w:rsidP="000B0037">
            <w:pPr>
              <w:tabs>
                <w:tab w:val="left" w:pos="7485"/>
              </w:tabs>
              <w:spacing w:line="240" w:lineRule="auto"/>
              <w:ind w:right="23"/>
              <w:rPr>
                <w:rFonts w:ascii="Arial" w:hAnsi="Arial" w:cs="Arial"/>
                <w:bCs/>
                <w:lang w:eastAsia="en-AU"/>
              </w:rPr>
            </w:pPr>
            <w:r w:rsidRPr="00D020D3">
              <w:rPr>
                <w:rFonts w:ascii="Arial" w:hAnsi="Arial" w:cs="Arial"/>
              </w:rPr>
              <w:t>Awaiting referral response</w:t>
            </w:r>
          </w:p>
        </w:tc>
        <w:tc>
          <w:tcPr>
            <w:tcW w:w="1195" w:type="dxa"/>
          </w:tcPr>
          <w:p w:rsidR="00FE74E6" w:rsidRPr="00D020D3" w:rsidRDefault="009F5B69" w:rsidP="00046998">
            <w:pPr>
              <w:pStyle w:val="FigureCaption"/>
              <w:spacing w:before="0" w:after="160"/>
              <w:ind w:left="0"/>
              <w:rPr>
                <w:rFonts w:ascii="Arial" w:hAnsi="Arial" w:cs="Arial"/>
                <w:b w:val="0"/>
                <w:color w:val="auto"/>
                <w:sz w:val="22"/>
                <w:szCs w:val="22"/>
              </w:rPr>
            </w:pPr>
            <w:r w:rsidRPr="00D020D3">
              <w:rPr>
                <w:rFonts w:ascii="Arial" w:hAnsi="Arial" w:cs="Arial"/>
                <w:b w:val="0"/>
                <w:color w:val="auto"/>
                <w:sz w:val="22"/>
                <w:szCs w:val="22"/>
              </w:rPr>
              <w:t>TBC</w:t>
            </w:r>
          </w:p>
        </w:tc>
      </w:tr>
    </w:tbl>
    <w:p w:rsidR="00FE74E6" w:rsidRPr="00D020D3" w:rsidRDefault="00FE74E6" w:rsidP="00FE74E6">
      <w:pPr>
        <w:tabs>
          <w:tab w:val="left" w:pos="7485"/>
        </w:tabs>
        <w:spacing w:line="240" w:lineRule="auto"/>
        <w:ind w:right="23"/>
        <w:rPr>
          <w:rFonts w:ascii="Arial" w:hAnsi="Arial" w:cs="Arial"/>
          <w:b/>
          <w:lang w:eastAsia="en-AU"/>
        </w:rPr>
      </w:pPr>
    </w:p>
    <w:p w:rsidR="00FE74E6" w:rsidRPr="00D020D3" w:rsidRDefault="00FE74E6" w:rsidP="00DA57D7">
      <w:pPr>
        <w:pStyle w:val="ListParagraph"/>
        <w:numPr>
          <w:ilvl w:val="1"/>
          <w:numId w:val="15"/>
        </w:numPr>
        <w:tabs>
          <w:tab w:val="left" w:pos="7485"/>
        </w:tabs>
        <w:spacing w:line="240" w:lineRule="auto"/>
        <w:ind w:right="23"/>
        <w:rPr>
          <w:rFonts w:ascii="Arial" w:hAnsi="Arial" w:cs="Arial"/>
          <w:b/>
          <w:lang w:eastAsia="en-AU"/>
        </w:rPr>
      </w:pPr>
      <w:r w:rsidRPr="00D020D3">
        <w:rPr>
          <w:rFonts w:ascii="Arial" w:hAnsi="Arial" w:cs="Arial"/>
          <w:b/>
          <w:lang w:eastAsia="en-AU"/>
        </w:rPr>
        <w:t>Community consultation</w:t>
      </w:r>
    </w:p>
    <w:p w:rsidR="00FE74E6" w:rsidRPr="00D020D3" w:rsidRDefault="00FE74E6" w:rsidP="00FE74E6">
      <w:pPr>
        <w:tabs>
          <w:tab w:val="left" w:pos="7485"/>
        </w:tabs>
        <w:spacing w:line="240" w:lineRule="auto"/>
        <w:ind w:right="23"/>
        <w:rPr>
          <w:rFonts w:ascii="Arial" w:hAnsi="Arial" w:cs="Arial"/>
          <w:lang w:eastAsia="en-AU"/>
        </w:rPr>
      </w:pPr>
      <w:r w:rsidRPr="00D020D3">
        <w:rPr>
          <w:rFonts w:ascii="Arial" w:hAnsi="Arial" w:cs="Arial"/>
          <w:lang w:eastAsia="en-AU"/>
        </w:rPr>
        <w:t xml:space="preserve">The </w:t>
      </w:r>
      <w:r w:rsidR="004036FD" w:rsidRPr="00D020D3">
        <w:rPr>
          <w:rFonts w:ascii="Arial" w:hAnsi="Arial" w:cs="Arial"/>
          <w:lang w:eastAsia="en-AU"/>
        </w:rPr>
        <w:t>original application</w:t>
      </w:r>
      <w:r w:rsidRPr="00D020D3">
        <w:rPr>
          <w:rFonts w:ascii="Arial" w:hAnsi="Arial" w:cs="Arial"/>
          <w:lang w:eastAsia="en-AU"/>
        </w:rPr>
        <w:t xml:space="preserve"> was notified in accordance with the Council’s Development Control Plan and Community Participation Plan for the following dates:</w:t>
      </w:r>
    </w:p>
    <w:p w:rsidR="00FE74E6" w:rsidRPr="00D020D3" w:rsidRDefault="00FE74E6" w:rsidP="00DA57D7">
      <w:pPr>
        <w:pStyle w:val="ListParagraph"/>
        <w:numPr>
          <w:ilvl w:val="0"/>
          <w:numId w:val="8"/>
        </w:numPr>
        <w:spacing w:after="160"/>
        <w:ind w:left="714" w:hanging="357"/>
        <w:contextualSpacing w:val="0"/>
        <w:rPr>
          <w:rFonts w:ascii="Arial" w:eastAsia="Times New Roman" w:hAnsi="Arial" w:cs="Arial"/>
          <w:lang w:val="en-US" w:eastAsia="ja-JP"/>
        </w:rPr>
      </w:pPr>
      <w:r w:rsidRPr="00D020D3">
        <w:rPr>
          <w:rFonts w:ascii="Arial" w:eastAsia="Times New Roman" w:hAnsi="Arial" w:cs="Arial"/>
          <w:lang w:val="en-US" w:eastAsia="ja-JP"/>
        </w:rPr>
        <w:t>5 December 2018 – 14 January 2019 (</w:t>
      </w:r>
      <w:r w:rsidR="00F62AFD">
        <w:rPr>
          <w:rFonts w:ascii="Arial" w:eastAsia="Times New Roman" w:hAnsi="Arial" w:cs="Arial"/>
          <w:lang w:val="en-US" w:eastAsia="ja-JP"/>
        </w:rPr>
        <w:t>three</w:t>
      </w:r>
      <w:r w:rsidRPr="00D020D3">
        <w:rPr>
          <w:rFonts w:ascii="Arial" w:eastAsia="Times New Roman" w:hAnsi="Arial" w:cs="Arial"/>
          <w:lang w:val="en-US" w:eastAsia="ja-JP"/>
        </w:rPr>
        <w:t xml:space="preserve"> submissions)</w:t>
      </w:r>
    </w:p>
    <w:p w:rsidR="00FE74E6" w:rsidRPr="00D020D3" w:rsidRDefault="00FE74E6" w:rsidP="00DA57D7">
      <w:pPr>
        <w:pStyle w:val="ListParagraph"/>
        <w:numPr>
          <w:ilvl w:val="0"/>
          <w:numId w:val="8"/>
        </w:numPr>
        <w:spacing w:after="160"/>
        <w:ind w:left="714" w:hanging="357"/>
        <w:contextualSpacing w:val="0"/>
        <w:rPr>
          <w:rFonts w:ascii="Arial" w:hAnsi="Arial" w:cs="Arial"/>
        </w:rPr>
      </w:pPr>
      <w:r w:rsidRPr="00D020D3">
        <w:rPr>
          <w:rFonts w:ascii="Arial" w:eastAsia="Times New Roman" w:hAnsi="Arial" w:cs="Arial"/>
          <w:lang w:val="en-US" w:eastAsia="ja-JP"/>
        </w:rPr>
        <w:t>6 October 2020 – 26 October 2020 (one submission)</w:t>
      </w:r>
    </w:p>
    <w:p w:rsidR="00736F17" w:rsidRPr="00D020D3" w:rsidRDefault="00FE74E6" w:rsidP="00DA57D7">
      <w:pPr>
        <w:pStyle w:val="ListParagraph"/>
        <w:numPr>
          <w:ilvl w:val="0"/>
          <w:numId w:val="8"/>
        </w:numPr>
        <w:spacing w:after="160"/>
        <w:ind w:left="714" w:hanging="357"/>
        <w:contextualSpacing w:val="0"/>
        <w:rPr>
          <w:rFonts w:ascii="Arial" w:eastAsia="Times New Roman" w:hAnsi="Arial" w:cs="Arial"/>
          <w:lang w:val="en-US" w:eastAsia="ja-JP"/>
        </w:rPr>
      </w:pPr>
      <w:r w:rsidRPr="00D020D3">
        <w:rPr>
          <w:rFonts w:ascii="Arial" w:hAnsi="Arial" w:cs="Arial"/>
        </w:rPr>
        <w:lastRenderedPageBreak/>
        <w:t>30 July 2021 – 20 August 2021 (two submissions)</w:t>
      </w:r>
    </w:p>
    <w:p w:rsidR="004036FD" w:rsidRPr="00D020D3" w:rsidRDefault="00736F17" w:rsidP="004036FD">
      <w:pPr>
        <w:pStyle w:val="ListParagraph"/>
        <w:numPr>
          <w:ilvl w:val="0"/>
          <w:numId w:val="8"/>
        </w:numPr>
        <w:spacing w:after="160"/>
        <w:ind w:left="714" w:hanging="357"/>
        <w:contextualSpacing w:val="0"/>
        <w:rPr>
          <w:rFonts w:ascii="Arial" w:eastAsia="Times New Roman" w:hAnsi="Arial" w:cs="Arial"/>
          <w:lang w:val="en-US" w:eastAsia="ja-JP"/>
        </w:rPr>
      </w:pPr>
      <w:r w:rsidRPr="00D020D3">
        <w:rPr>
          <w:rFonts w:ascii="Arial" w:eastAsia="Times New Roman" w:hAnsi="Arial" w:cs="Arial"/>
          <w:lang w:val="en-US" w:eastAsia="ja-JP"/>
        </w:rPr>
        <w:t>3 June 2022 – 28 June 2022 (</w:t>
      </w:r>
      <w:r w:rsidR="00F62AFD">
        <w:rPr>
          <w:rFonts w:ascii="Arial" w:eastAsia="Times New Roman" w:hAnsi="Arial" w:cs="Arial"/>
          <w:lang w:val="en-US" w:eastAsia="ja-JP"/>
        </w:rPr>
        <w:t>two submissions</w:t>
      </w:r>
      <w:r w:rsidR="004036FD" w:rsidRPr="00D020D3">
        <w:rPr>
          <w:rFonts w:ascii="Arial" w:eastAsia="Times New Roman" w:hAnsi="Arial" w:cs="Arial"/>
          <w:lang w:val="en-US" w:eastAsia="ja-JP"/>
        </w:rPr>
        <w:t>)</w:t>
      </w:r>
    </w:p>
    <w:p w:rsidR="00FE74E6" w:rsidRPr="00D020D3" w:rsidRDefault="00F62AFD" w:rsidP="00FE74E6">
      <w:pPr>
        <w:widowControl w:val="0"/>
        <w:tabs>
          <w:tab w:val="left" w:pos="7485"/>
        </w:tabs>
        <w:spacing w:line="240" w:lineRule="auto"/>
        <w:ind w:right="23"/>
        <w:rPr>
          <w:rFonts w:ascii="Arial" w:hAnsi="Arial" w:cs="Arial"/>
          <w:bCs/>
          <w:lang w:eastAsia="en-AU"/>
        </w:rPr>
      </w:pPr>
      <w:r>
        <w:rPr>
          <w:rFonts w:ascii="Arial" w:hAnsi="Arial" w:cs="Arial"/>
          <w:bCs/>
          <w:lang w:eastAsia="en-AU"/>
        </w:rPr>
        <w:t>Eight</w:t>
      </w:r>
      <w:r w:rsidR="00FE74E6" w:rsidRPr="00D020D3">
        <w:rPr>
          <w:rFonts w:ascii="Arial" w:hAnsi="Arial" w:cs="Arial"/>
          <w:bCs/>
          <w:lang w:eastAsia="en-AU"/>
        </w:rPr>
        <w:t xml:space="preserve"> unique submissions have been received. The issues raised in these submissions include the following:</w:t>
      </w:r>
    </w:p>
    <w:p w:rsidR="00FE74E6" w:rsidRPr="00D020D3" w:rsidRDefault="00FE74E6" w:rsidP="00DA57D7">
      <w:pPr>
        <w:pStyle w:val="ListParagraph"/>
        <w:widowControl w:val="0"/>
        <w:numPr>
          <w:ilvl w:val="0"/>
          <w:numId w:val="7"/>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Lack of pedestrian, cycleway and public transport links (private landowner)</w:t>
      </w:r>
    </w:p>
    <w:p w:rsidR="00FE74E6" w:rsidRPr="00D020D3" w:rsidRDefault="00FE74E6" w:rsidP="00DA57D7">
      <w:pPr>
        <w:pStyle w:val="ListParagraph"/>
        <w:widowControl w:val="0"/>
        <w:numPr>
          <w:ilvl w:val="0"/>
          <w:numId w:val="7"/>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Lack of provision of recreation facilities within the development footprint in the Lake Macquarie LGA (</w:t>
      </w:r>
      <w:r w:rsidR="00684249" w:rsidRPr="00D020D3">
        <w:rPr>
          <w:rFonts w:ascii="Arial" w:hAnsi="Arial" w:cs="Arial"/>
          <w:bCs/>
          <w:lang w:eastAsia="en-AU"/>
        </w:rPr>
        <w:t>CN</w:t>
      </w:r>
      <w:r w:rsidRPr="00D020D3">
        <w:rPr>
          <w:rFonts w:ascii="Arial" w:hAnsi="Arial" w:cs="Arial"/>
          <w:bCs/>
          <w:lang w:eastAsia="en-AU"/>
        </w:rPr>
        <w:t>).</w:t>
      </w:r>
    </w:p>
    <w:p w:rsidR="00FE74E6" w:rsidRPr="00D020D3" w:rsidRDefault="00FE74E6" w:rsidP="00DA57D7">
      <w:pPr>
        <w:pStyle w:val="ListParagraph"/>
        <w:widowControl w:val="0"/>
        <w:numPr>
          <w:ilvl w:val="0"/>
          <w:numId w:val="7"/>
        </w:numPr>
        <w:tabs>
          <w:tab w:val="left" w:pos="7485"/>
        </w:tabs>
        <w:spacing w:after="160" w:line="240" w:lineRule="auto"/>
        <w:ind w:right="23"/>
        <w:contextualSpacing w:val="0"/>
        <w:rPr>
          <w:rFonts w:ascii="Arial" w:hAnsi="Arial" w:cs="Arial"/>
          <w:bCs/>
          <w:lang w:eastAsia="en-AU"/>
        </w:rPr>
      </w:pPr>
      <w:r w:rsidRPr="00D020D3">
        <w:rPr>
          <w:rFonts w:ascii="Arial" w:hAnsi="Arial" w:cs="Arial"/>
          <w:bCs/>
          <w:lang w:eastAsia="en-AU"/>
        </w:rPr>
        <w:t>Impacts of the proposed development on the operation of the adjacent Summerhill Waste Management Centre</w:t>
      </w:r>
      <w:r w:rsidR="002D6387" w:rsidRPr="00D020D3">
        <w:rPr>
          <w:rFonts w:ascii="Arial" w:hAnsi="Arial" w:cs="Arial"/>
          <w:bCs/>
          <w:lang w:eastAsia="en-AU"/>
        </w:rPr>
        <w:t xml:space="preserve"> (SWMC)</w:t>
      </w:r>
      <w:r w:rsidRPr="00D020D3">
        <w:rPr>
          <w:rFonts w:ascii="Arial" w:hAnsi="Arial" w:cs="Arial"/>
          <w:bCs/>
          <w:lang w:eastAsia="en-AU"/>
        </w:rPr>
        <w:t xml:space="preserve"> (</w:t>
      </w:r>
      <w:r w:rsidR="00684249" w:rsidRPr="00D020D3">
        <w:rPr>
          <w:rFonts w:ascii="Arial" w:hAnsi="Arial" w:cs="Arial"/>
          <w:bCs/>
          <w:lang w:eastAsia="en-AU"/>
        </w:rPr>
        <w:t>CN</w:t>
      </w:r>
      <w:r w:rsidRPr="00D020D3">
        <w:rPr>
          <w:rFonts w:ascii="Arial" w:hAnsi="Arial" w:cs="Arial"/>
          <w:bCs/>
          <w:lang w:eastAsia="en-AU"/>
        </w:rPr>
        <w:t xml:space="preserve">).  </w:t>
      </w:r>
    </w:p>
    <w:p w:rsidR="00FE74E6" w:rsidRPr="00D020D3" w:rsidRDefault="00FE74E6" w:rsidP="00DA57D7">
      <w:pPr>
        <w:pStyle w:val="ListParagraph"/>
        <w:widowControl w:val="0"/>
        <w:numPr>
          <w:ilvl w:val="0"/>
          <w:numId w:val="7"/>
        </w:numPr>
        <w:tabs>
          <w:tab w:val="left" w:pos="7485"/>
        </w:tabs>
        <w:spacing w:after="160" w:line="240" w:lineRule="auto"/>
        <w:ind w:left="714" w:right="23" w:hanging="357"/>
        <w:contextualSpacing w:val="0"/>
        <w:rPr>
          <w:rFonts w:ascii="Arial" w:hAnsi="Arial" w:cs="Arial"/>
          <w:bCs/>
          <w:lang w:eastAsia="en-AU"/>
        </w:rPr>
      </w:pPr>
      <w:r w:rsidRPr="00D020D3">
        <w:rPr>
          <w:rFonts w:ascii="Arial" w:hAnsi="Arial" w:cs="Arial"/>
          <w:bCs/>
          <w:lang w:eastAsia="en-AU"/>
        </w:rPr>
        <w:t>The development is not consistent with Condition 1.34 if the Concept Approval requiring demonstration keys roads linking Minmi Boulevarde and the SWMC had been designed to accommodate waste removal vehicles (</w:t>
      </w:r>
      <w:r w:rsidR="00684249" w:rsidRPr="00D020D3">
        <w:rPr>
          <w:rFonts w:ascii="Arial" w:hAnsi="Arial" w:cs="Arial"/>
          <w:bCs/>
          <w:lang w:eastAsia="en-AU"/>
        </w:rPr>
        <w:t>CN</w:t>
      </w:r>
      <w:r w:rsidRPr="00D020D3">
        <w:rPr>
          <w:rFonts w:ascii="Arial" w:hAnsi="Arial" w:cs="Arial"/>
          <w:bCs/>
          <w:lang w:eastAsia="en-AU"/>
        </w:rPr>
        <w:t>).</w:t>
      </w:r>
    </w:p>
    <w:p w:rsidR="00FE74E6" w:rsidRPr="00D020D3" w:rsidRDefault="00FE74E6" w:rsidP="00DA57D7">
      <w:pPr>
        <w:pStyle w:val="ListParagraph"/>
        <w:widowControl w:val="0"/>
        <w:numPr>
          <w:ilvl w:val="0"/>
          <w:numId w:val="7"/>
        </w:numPr>
        <w:tabs>
          <w:tab w:val="left" w:pos="7485"/>
        </w:tabs>
        <w:spacing w:after="160" w:line="240" w:lineRule="auto"/>
        <w:ind w:right="23"/>
        <w:contextualSpacing w:val="0"/>
        <w:jc w:val="both"/>
        <w:rPr>
          <w:rFonts w:ascii="Arial" w:hAnsi="Arial" w:cs="Arial"/>
          <w:bCs/>
          <w:lang w:eastAsia="en-AU"/>
        </w:rPr>
      </w:pPr>
      <w:r w:rsidRPr="00D020D3">
        <w:rPr>
          <w:rFonts w:ascii="Arial" w:hAnsi="Arial" w:cs="Arial"/>
          <w:bCs/>
          <w:lang w:eastAsia="en-AU"/>
        </w:rPr>
        <w:t>Impacts on the adjacent Blue Gum Hills Regional Park (BGHRP) (NPWS).</w:t>
      </w:r>
    </w:p>
    <w:p w:rsidR="004036FD" w:rsidRPr="00D020D3" w:rsidRDefault="004036FD" w:rsidP="004036FD">
      <w:pPr>
        <w:widowControl w:val="0"/>
        <w:tabs>
          <w:tab w:val="left" w:pos="7485"/>
        </w:tabs>
        <w:spacing w:line="240" w:lineRule="auto"/>
        <w:ind w:right="23"/>
        <w:jc w:val="both"/>
        <w:rPr>
          <w:rFonts w:ascii="Arial" w:hAnsi="Arial" w:cs="Arial"/>
          <w:bCs/>
          <w:lang w:eastAsia="en-AU"/>
        </w:rPr>
      </w:pPr>
      <w:r w:rsidRPr="00D020D3">
        <w:rPr>
          <w:rFonts w:ascii="Arial" w:hAnsi="Arial" w:cs="Arial"/>
          <w:bCs/>
          <w:lang w:eastAsia="en-AU"/>
        </w:rPr>
        <w:t xml:space="preserve">The review application was notified </w:t>
      </w:r>
      <w:r w:rsidR="008A180D" w:rsidRPr="00D020D3">
        <w:rPr>
          <w:rFonts w:ascii="Arial" w:hAnsi="Arial" w:cs="Arial"/>
          <w:bCs/>
          <w:lang w:eastAsia="en-AU"/>
        </w:rPr>
        <w:t>from 6</w:t>
      </w:r>
      <w:r w:rsidRPr="00D020D3">
        <w:rPr>
          <w:rFonts w:ascii="Arial" w:hAnsi="Arial" w:cs="Arial"/>
          <w:bCs/>
          <w:lang w:eastAsia="en-AU"/>
        </w:rPr>
        <w:t xml:space="preserve"> February 2023 to 28 February 2023. One submission was received in response to the review notification. The response was from CN, reiterating the concerns raised under </w:t>
      </w:r>
      <w:r w:rsidR="008D21FF" w:rsidRPr="00D020D3">
        <w:rPr>
          <w:rFonts w:ascii="Arial" w:hAnsi="Arial" w:cs="Arial"/>
          <w:bCs/>
          <w:lang w:eastAsia="en-AU"/>
        </w:rPr>
        <w:t>their previous submissions.</w:t>
      </w:r>
    </w:p>
    <w:p w:rsidR="00FE74E6" w:rsidRPr="00D020D3" w:rsidRDefault="009A4AB8" w:rsidP="00DA57D7">
      <w:pPr>
        <w:pStyle w:val="ListParagraph"/>
        <w:numPr>
          <w:ilvl w:val="0"/>
          <w:numId w:val="15"/>
        </w:numPr>
        <w:tabs>
          <w:tab w:val="left" w:pos="7485"/>
        </w:tabs>
        <w:spacing w:after="160" w:line="240" w:lineRule="auto"/>
        <w:ind w:right="23"/>
        <w:contextualSpacing w:val="0"/>
        <w:rPr>
          <w:rFonts w:ascii="Arial" w:hAnsi="Arial" w:cs="Arial"/>
          <w:b/>
          <w:lang w:eastAsia="en-AU"/>
        </w:rPr>
      </w:pPr>
      <w:r w:rsidRPr="00D020D3">
        <w:rPr>
          <w:rFonts w:ascii="Arial" w:hAnsi="Arial" w:cs="Arial"/>
          <w:b/>
          <w:lang w:eastAsia="en-AU"/>
        </w:rPr>
        <w:t>Key issues</w:t>
      </w:r>
    </w:p>
    <w:p w:rsidR="008D21FF" w:rsidRPr="00D020D3" w:rsidRDefault="008D21FF" w:rsidP="008D21FF">
      <w:pPr>
        <w:pStyle w:val="ListParagraph"/>
        <w:numPr>
          <w:ilvl w:val="1"/>
          <w:numId w:val="31"/>
        </w:numPr>
        <w:tabs>
          <w:tab w:val="left" w:pos="7485"/>
        </w:tabs>
        <w:spacing w:after="160" w:line="240" w:lineRule="auto"/>
        <w:ind w:right="23"/>
        <w:contextualSpacing w:val="0"/>
        <w:rPr>
          <w:rFonts w:ascii="Arial" w:hAnsi="Arial" w:cs="Arial"/>
          <w:b/>
          <w:lang w:eastAsia="en-AU"/>
        </w:rPr>
      </w:pPr>
      <w:r w:rsidRPr="00D020D3">
        <w:rPr>
          <w:rFonts w:ascii="Arial" w:hAnsi="Arial" w:cs="Arial"/>
          <w:b/>
          <w:lang w:eastAsia="en-AU"/>
        </w:rPr>
        <w:t>Biodiversity</w:t>
      </w:r>
    </w:p>
    <w:p w:rsidR="008D21FF" w:rsidRPr="00D020D3" w:rsidRDefault="008D21FF" w:rsidP="008D21FF">
      <w:pPr>
        <w:tabs>
          <w:tab w:val="left" w:pos="7485"/>
        </w:tabs>
        <w:spacing w:line="240" w:lineRule="auto"/>
        <w:ind w:right="23"/>
        <w:rPr>
          <w:rFonts w:ascii="Arial" w:hAnsi="Arial" w:cs="Arial"/>
          <w:lang w:eastAsia="en-AU"/>
        </w:rPr>
      </w:pPr>
      <w:r w:rsidRPr="00D020D3">
        <w:rPr>
          <w:rFonts w:ascii="Arial" w:hAnsi="Arial" w:cs="Arial"/>
          <w:lang w:eastAsia="en-AU"/>
        </w:rPr>
        <w:t>Assessment under the original application resolved that the development does not trigger any further assessment requirements for those species previously assessed under the 34A certification. For species that have been listed since the certification, further assessment is required. This includes Scrub Turpentine (</w:t>
      </w:r>
      <w:proofErr w:type="spellStart"/>
      <w:r w:rsidRPr="00D020D3">
        <w:rPr>
          <w:rFonts w:ascii="Arial" w:hAnsi="Arial" w:cs="Arial"/>
          <w:lang w:eastAsia="en-AU"/>
        </w:rPr>
        <w:t>Rhodamnia</w:t>
      </w:r>
      <w:proofErr w:type="spellEnd"/>
      <w:r w:rsidRPr="00D020D3">
        <w:rPr>
          <w:rFonts w:ascii="Arial" w:hAnsi="Arial" w:cs="Arial"/>
          <w:lang w:eastAsia="en-AU"/>
        </w:rPr>
        <w:t xml:space="preserve"> </w:t>
      </w:r>
      <w:proofErr w:type="spellStart"/>
      <w:r w:rsidRPr="00D020D3">
        <w:rPr>
          <w:rFonts w:ascii="Arial" w:hAnsi="Arial" w:cs="Arial"/>
          <w:lang w:eastAsia="en-AU"/>
        </w:rPr>
        <w:t>rubescens</w:t>
      </w:r>
      <w:proofErr w:type="spellEnd"/>
      <w:r w:rsidRPr="00D020D3">
        <w:rPr>
          <w:rFonts w:ascii="Arial" w:hAnsi="Arial" w:cs="Arial"/>
          <w:lang w:eastAsia="en-AU"/>
        </w:rPr>
        <w:t xml:space="preserve">) and the up-listed species Koala (Phascolarctos </w:t>
      </w:r>
      <w:proofErr w:type="spellStart"/>
      <w:r w:rsidRPr="00D020D3">
        <w:rPr>
          <w:rFonts w:ascii="Arial" w:hAnsi="Arial" w:cs="Arial"/>
          <w:lang w:eastAsia="en-AU"/>
        </w:rPr>
        <w:t>cinereus</w:t>
      </w:r>
      <w:proofErr w:type="spellEnd"/>
      <w:r w:rsidRPr="00D020D3">
        <w:rPr>
          <w:rFonts w:ascii="Arial" w:hAnsi="Arial" w:cs="Arial"/>
          <w:lang w:eastAsia="en-AU"/>
        </w:rPr>
        <w:t xml:space="preserve">). </w:t>
      </w:r>
    </w:p>
    <w:p w:rsidR="008D21FF" w:rsidRPr="00D020D3" w:rsidRDefault="008D21FF" w:rsidP="008D21FF">
      <w:pPr>
        <w:tabs>
          <w:tab w:val="left" w:pos="7485"/>
        </w:tabs>
        <w:spacing w:line="240" w:lineRule="auto"/>
        <w:ind w:right="23"/>
        <w:rPr>
          <w:rFonts w:ascii="Arial" w:hAnsi="Arial" w:cs="Arial"/>
          <w:lang w:eastAsia="en-AU"/>
        </w:rPr>
      </w:pPr>
      <w:r w:rsidRPr="00D020D3">
        <w:rPr>
          <w:rFonts w:ascii="Arial" w:hAnsi="Arial" w:cs="Arial"/>
          <w:lang w:eastAsia="en-AU"/>
        </w:rPr>
        <w:t xml:space="preserve">The applicant has submitted an updated ecological assessment </w:t>
      </w:r>
      <w:r w:rsidR="00D60C4C" w:rsidRPr="00D020D3">
        <w:rPr>
          <w:rFonts w:ascii="Arial" w:hAnsi="Arial" w:cs="Arial"/>
          <w:lang w:eastAsia="en-AU"/>
        </w:rPr>
        <w:t>for</w:t>
      </w:r>
      <w:r w:rsidRPr="00D020D3">
        <w:rPr>
          <w:rFonts w:ascii="Arial" w:hAnsi="Arial" w:cs="Arial"/>
          <w:lang w:eastAsia="en-AU"/>
        </w:rPr>
        <w:t xml:space="preserve"> the above species. For the Koala survey, the applicant submits that the assessment requirements under the prior and up-listed circumstances are identical, and statutory obligations have been met on that basis.</w:t>
      </w:r>
    </w:p>
    <w:p w:rsidR="008D21FF" w:rsidRPr="00D020D3" w:rsidRDefault="008D21FF" w:rsidP="008D21FF">
      <w:pPr>
        <w:tabs>
          <w:tab w:val="left" w:pos="7485"/>
        </w:tabs>
        <w:spacing w:line="240" w:lineRule="auto"/>
        <w:ind w:right="23"/>
        <w:rPr>
          <w:rFonts w:ascii="Arial" w:hAnsi="Arial" w:cs="Arial"/>
          <w:lang w:eastAsia="en-AU"/>
        </w:rPr>
      </w:pPr>
      <w:r w:rsidRPr="00D020D3">
        <w:rPr>
          <w:rFonts w:ascii="Arial" w:hAnsi="Arial" w:cs="Arial"/>
          <w:lang w:eastAsia="en-AU"/>
        </w:rPr>
        <w:t>Council’s Flora and Fauna Officer has raised concerns with this approach</w:t>
      </w:r>
      <w:r w:rsidR="00C37717" w:rsidRPr="00D020D3">
        <w:rPr>
          <w:rFonts w:ascii="Arial" w:hAnsi="Arial" w:cs="Arial"/>
          <w:lang w:eastAsia="en-AU"/>
        </w:rPr>
        <w:t>, for the following reasons:</w:t>
      </w:r>
    </w:p>
    <w:p w:rsidR="00C37717" w:rsidRPr="00D020D3" w:rsidRDefault="00C37717" w:rsidP="00C37717">
      <w:pPr>
        <w:pStyle w:val="ListParagraph"/>
        <w:numPr>
          <w:ilvl w:val="0"/>
          <w:numId w:val="7"/>
        </w:numPr>
        <w:tabs>
          <w:tab w:val="left" w:pos="7485"/>
        </w:tabs>
        <w:spacing w:line="240" w:lineRule="auto"/>
        <w:ind w:right="23"/>
        <w:rPr>
          <w:rFonts w:ascii="Arial" w:hAnsi="Arial" w:cs="Arial"/>
          <w:lang w:eastAsia="en-AU"/>
        </w:rPr>
      </w:pPr>
      <w:r w:rsidRPr="00D020D3">
        <w:rPr>
          <w:rFonts w:ascii="Arial" w:hAnsi="Arial" w:cs="Arial"/>
          <w:lang w:eastAsia="en-AU"/>
        </w:rPr>
        <w:t>Despite the provisions of SEPP 44 and SEPP (2020) being performatively identical, the implementation of the 2020 SEPP may have still triggered a requirement to undertake a new assessment at the time it was enforced;</w:t>
      </w:r>
    </w:p>
    <w:p w:rsidR="00C37717" w:rsidRPr="00D020D3" w:rsidRDefault="00C37717" w:rsidP="00C37717">
      <w:pPr>
        <w:pStyle w:val="ListParagraph"/>
        <w:numPr>
          <w:ilvl w:val="0"/>
          <w:numId w:val="7"/>
        </w:numPr>
        <w:tabs>
          <w:tab w:val="left" w:pos="7485"/>
        </w:tabs>
        <w:spacing w:line="240" w:lineRule="auto"/>
        <w:ind w:right="23"/>
        <w:rPr>
          <w:rFonts w:ascii="Arial" w:hAnsi="Arial" w:cs="Arial"/>
          <w:lang w:eastAsia="en-AU"/>
        </w:rPr>
      </w:pPr>
      <w:r w:rsidRPr="00D020D3">
        <w:rPr>
          <w:rFonts w:ascii="Arial" w:hAnsi="Arial" w:cs="Arial"/>
          <w:lang w:eastAsia="en-AU"/>
        </w:rPr>
        <w:t>It is not sufficient to equate the historic and current requirements, the up-listing necessitates the assessment be revisited;</w:t>
      </w:r>
    </w:p>
    <w:p w:rsidR="00C37717" w:rsidRPr="00D020D3" w:rsidRDefault="00C37717" w:rsidP="00C37717">
      <w:pPr>
        <w:pStyle w:val="ListParagraph"/>
        <w:numPr>
          <w:ilvl w:val="0"/>
          <w:numId w:val="7"/>
        </w:numPr>
        <w:tabs>
          <w:tab w:val="left" w:pos="7485"/>
        </w:tabs>
        <w:spacing w:line="240" w:lineRule="auto"/>
        <w:ind w:right="23"/>
        <w:rPr>
          <w:rFonts w:ascii="Arial" w:hAnsi="Arial" w:cs="Arial"/>
          <w:lang w:eastAsia="en-AU"/>
        </w:rPr>
      </w:pPr>
      <w:r w:rsidRPr="00D020D3">
        <w:rPr>
          <w:rFonts w:ascii="Arial" w:hAnsi="Arial" w:cs="Arial"/>
          <w:lang w:eastAsia="en-AU"/>
        </w:rPr>
        <w:t xml:space="preserve">It is unclear as to whether there would be any difference in application of the assessment methods provided under the TSC Act / Regulation; </w:t>
      </w:r>
    </w:p>
    <w:p w:rsidR="008D21FF" w:rsidRPr="00D020D3" w:rsidRDefault="00C37717" w:rsidP="00872DDB">
      <w:pPr>
        <w:pStyle w:val="ListParagraph"/>
        <w:numPr>
          <w:ilvl w:val="0"/>
          <w:numId w:val="7"/>
        </w:numPr>
        <w:tabs>
          <w:tab w:val="left" w:pos="7485"/>
        </w:tabs>
        <w:spacing w:line="240" w:lineRule="auto"/>
        <w:ind w:right="23"/>
        <w:rPr>
          <w:rFonts w:ascii="Arial" w:hAnsi="Arial" w:cs="Arial"/>
          <w:lang w:eastAsia="en-AU"/>
        </w:rPr>
      </w:pPr>
      <w:r w:rsidRPr="00D020D3">
        <w:rPr>
          <w:rFonts w:ascii="Arial" w:hAnsi="Arial" w:cs="Arial"/>
          <w:lang w:eastAsia="en-AU"/>
        </w:rPr>
        <w:t>Even if the methodology under the TSC Act would be the same, whether the application of Clause 31 of the BC (</w:t>
      </w:r>
      <w:proofErr w:type="spellStart"/>
      <w:r w:rsidRPr="00D020D3">
        <w:rPr>
          <w:rFonts w:ascii="Arial" w:hAnsi="Arial" w:cs="Arial"/>
          <w:lang w:eastAsia="en-AU"/>
        </w:rPr>
        <w:t>SaT</w:t>
      </w:r>
      <w:proofErr w:type="spellEnd"/>
      <w:r w:rsidRPr="00D020D3">
        <w:rPr>
          <w:rFonts w:ascii="Arial" w:hAnsi="Arial" w:cs="Arial"/>
          <w:lang w:eastAsia="en-AU"/>
        </w:rPr>
        <w:t>) Regulation 2017 necessitates revisiting the assessment because the circumstances for the species / site have changed.</w:t>
      </w:r>
    </w:p>
    <w:p w:rsidR="008D21FF" w:rsidRPr="0000286B" w:rsidRDefault="00C37717" w:rsidP="0000286B">
      <w:pPr>
        <w:tabs>
          <w:tab w:val="left" w:pos="7485"/>
        </w:tabs>
        <w:spacing w:before="160" w:line="240" w:lineRule="auto"/>
        <w:ind w:right="23"/>
        <w:rPr>
          <w:rFonts w:ascii="Arial" w:hAnsi="Arial" w:cs="Arial"/>
          <w:lang w:eastAsia="en-AU"/>
        </w:rPr>
      </w:pPr>
      <w:r w:rsidRPr="00D020D3">
        <w:rPr>
          <w:rFonts w:ascii="Arial" w:hAnsi="Arial" w:cs="Arial"/>
        </w:rPr>
        <w:t>Council is continuing to liaise with the applicant, the opinion of the Panel on this aspect of the assessment would be appreciated.</w:t>
      </w:r>
    </w:p>
    <w:p w:rsidR="00D60C4C" w:rsidRPr="00D020D3" w:rsidRDefault="00D60C4C" w:rsidP="00D60C4C">
      <w:pPr>
        <w:pStyle w:val="ListParagraph"/>
        <w:numPr>
          <w:ilvl w:val="1"/>
          <w:numId w:val="17"/>
        </w:numPr>
        <w:tabs>
          <w:tab w:val="left" w:pos="7485"/>
        </w:tabs>
        <w:spacing w:line="240" w:lineRule="auto"/>
        <w:ind w:right="23"/>
        <w:rPr>
          <w:rFonts w:ascii="Arial" w:hAnsi="Arial" w:cs="Arial"/>
          <w:b/>
          <w:lang w:eastAsia="en-AU"/>
        </w:rPr>
      </w:pPr>
      <w:r w:rsidRPr="00D020D3">
        <w:rPr>
          <w:rFonts w:ascii="Arial" w:hAnsi="Arial" w:cs="Arial"/>
          <w:b/>
          <w:lang w:eastAsia="en-AU"/>
        </w:rPr>
        <w:t>Traffic and transport</w:t>
      </w:r>
    </w:p>
    <w:p w:rsidR="00813E1B" w:rsidRPr="00D020D3" w:rsidRDefault="00D60C4C" w:rsidP="00D60C4C">
      <w:pPr>
        <w:tabs>
          <w:tab w:val="left" w:pos="7485"/>
        </w:tabs>
        <w:spacing w:line="240" w:lineRule="auto"/>
        <w:ind w:right="23"/>
        <w:rPr>
          <w:rFonts w:ascii="Arial" w:hAnsi="Arial" w:cs="Arial"/>
          <w:lang w:eastAsia="en-AU"/>
        </w:rPr>
      </w:pPr>
      <w:r w:rsidRPr="00D020D3">
        <w:rPr>
          <w:rFonts w:ascii="Arial" w:hAnsi="Arial" w:cs="Arial"/>
          <w:lang w:eastAsia="en-AU"/>
        </w:rPr>
        <w:lastRenderedPageBreak/>
        <w:t xml:space="preserve">The applicant has engaged with TfNSW directly to resolve regional traffic implications for the development. Tentative confirmation has been </w:t>
      </w:r>
      <w:r w:rsidR="00813E1B" w:rsidRPr="00D020D3">
        <w:rPr>
          <w:rFonts w:ascii="Arial" w:hAnsi="Arial" w:cs="Arial"/>
          <w:lang w:eastAsia="en-AU"/>
        </w:rPr>
        <w:t xml:space="preserve">obtained indicating that a resolution has been reached with TfNSW through an offer to amend </w:t>
      </w:r>
      <w:proofErr w:type="spellStart"/>
      <w:r w:rsidR="00813E1B" w:rsidRPr="00D020D3">
        <w:rPr>
          <w:rFonts w:ascii="Arial" w:hAnsi="Arial" w:cs="Arial"/>
          <w:lang w:eastAsia="en-AU"/>
        </w:rPr>
        <w:t>Winten’s</w:t>
      </w:r>
      <w:proofErr w:type="spellEnd"/>
      <w:r w:rsidR="00813E1B" w:rsidRPr="00D020D3">
        <w:rPr>
          <w:rFonts w:ascii="Arial" w:hAnsi="Arial" w:cs="Arial"/>
          <w:lang w:eastAsia="en-AU"/>
        </w:rPr>
        <w:t xml:space="preserve"> Planning Agreement with the NSW Minister for Planning SVPA-2017-8779. The amendment requires </w:t>
      </w:r>
      <w:proofErr w:type="spellStart"/>
      <w:r w:rsidR="00813E1B" w:rsidRPr="00D020D3">
        <w:rPr>
          <w:rFonts w:ascii="Arial" w:hAnsi="Arial" w:cs="Arial"/>
          <w:lang w:eastAsia="en-AU"/>
        </w:rPr>
        <w:t>Winten</w:t>
      </w:r>
      <w:proofErr w:type="spellEnd"/>
      <w:r w:rsidR="00813E1B" w:rsidRPr="00D020D3">
        <w:rPr>
          <w:rFonts w:ascii="Arial" w:hAnsi="Arial" w:cs="Arial"/>
          <w:lang w:eastAsia="en-AU"/>
        </w:rPr>
        <w:t xml:space="preserve"> to provide an additional monetary contribution for the upgrade of the Newcastle Link Road and Minmi Road intersection.</w:t>
      </w:r>
    </w:p>
    <w:p w:rsidR="00813E1B" w:rsidRPr="00D020D3" w:rsidRDefault="00813E1B" w:rsidP="00D60C4C">
      <w:pPr>
        <w:tabs>
          <w:tab w:val="left" w:pos="7485"/>
        </w:tabs>
        <w:spacing w:line="240" w:lineRule="auto"/>
        <w:ind w:right="23"/>
        <w:rPr>
          <w:rFonts w:ascii="Arial" w:hAnsi="Arial" w:cs="Arial"/>
          <w:lang w:eastAsia="en-AU"/>
        </w:rPr>
      </w:pPr>
      <w:r w:rsidRPr="00D020D3">
        <w:rPr>
          <w:rFonts w:ascii="Arial" w:hAnsi="Arial" w:cs="Arial"/>
          <w:lang w:eastAsia="en-AU"/>
        </w:rPr>
        <w:t xml:space="preserve">Amendment to the planning agreement is contingent on an amendment to the condition imposed on the link road south development application (DA/1936/2016), relating to survey and upgrade requirements for the intersection. Council understands that lodgement of the modification application for DA/1936/2016 is imminent. </w:t>
      </w:r>
    </w:p>
    <w:p w:rsidR="008A180D" w:rsidRPr="00D020D3" w:rsidRDefault="008A180D" w:rsidP="008D21FF">
      <w:pPr>
        <w:tabs>
          <w:tab w:val="left" w:pos="7485"/>
        </w:tabs>
        <w:spacing w:line="240" w:lineRule="auto"/>
        <w:ind w:right="23"/>
        <w:rPr>
          <w:rFonts w:ascii="Arial" w:hAnsi="Arial" w:cs="Arial"/>
          <w:lang w:eastAsia="en-AU"/>
        </w:rPr>
      </w:pPr>
      <w:r w:rsidRPr="00D020D3">
        <w:rPr>
          <w:rFonts w:ascii="Arial" w:hAnsi="Arial" w:cs="Arial"/>
          <w:lang w:eastAsia="en-AU"/>
        </w:rPr>
        <w:t>A referral response from Council’s Traffic Engineer is being awaited with regard to local road impacts.</w:t>
      </w:r>
    </w:p>
    <w:p w:rsidR="008A180D" w:rsidRPr="00D020D3" w:rsidRDefault="008A180D" w:rsidP="008A180D">
      <w:pPr>
        <w:pStyle w:val="ListParagraph"/>
        <w:numPr>
          <w:ilvl w:val="1"/>
          <w:numId w:val="17"/>
        </w:numPr>
        <w:tabs>
          <w:tab w:val="left" w:pos="7485"/>
        </w:tabs>
        <w:spacing w:line="240" w:lineRule="auto"/>
        <w:ind w:right="23"/>
        <w:rPr>
          <w:rFonts w:ascii="Arial" w:hAnsi="Arial" w:cs="Arial"/>
          <w:b/>
          <w:lang w:eastAsia="en-AU"/>
        </w:rPr>
      </w:pPr>
      <w:r w:rsidRPr="00D020D3">
        <w:rPr>
          <w:rFonts w:ascii="Arial" w:hAnsi="Arial" w:cs="Arial"/>
          <w:b/>
          <w:lang w:eastAsia="en-AU"/>
        </w:rPr>
        <w:t>Contamination</w:t>
      </w:r>
    </w:p>
    <w:p w:rsidR="008A180D" w:rsidRPr="00D020D3" w:rsidRDefault="008A180D" w:rsidP="008A180D">
      <w:pPr>
        <w:tabs>
          <w:tab w:val="left" w:pos="7485"/>
        </w:tabs>
        <w:spacing w:line="240" w:lineRule="auto"/>
        <w:ind w:right="23"/>
        <w:rPr>
          <w:rFonts w:ascii="Arial" w:hAnsi="Arial" w:cs="Arial"/>
          <w:lang w:eastAsia="en-AU"/>
        </w:rPr>
      </w:pPr>
      <w:r w:rsidRPr="00D020D3">
        <w:rPr>
          <w:rFonts w:ascii="Arial" w:hAnsi="Arial" w:cs="Arial"/>
          <w:lang w:eastAsia="en-AU"/>
        </w:rPr>
        <w:t>Council’s Environmental Health Officer has reviewed the Remediation Action Plan and confirmed that the remediation strategies are sufficient to make the land suitable for the proposed use, including accounting for unexpected finds. A condition of consent requiring a Site Audit to be carried out by an EPA accredited site auditor is recommended.</w:t>
      </w:r>
    </w:p>
    <w:p w:rsidR="00041DCF" w:rsidRPr="00D020D3" w:rsidRDefault="008A180D" w:rsidP="00041DCF">
      <w:pPr>
        <w:tabs>
          <w:tab w:val="left" w:pos="7485"/>
        </w:tabs>
        <w:spacing w:line="240" w:lineRule="auto"/>
        <w:ind w:right="23"/>
        <w:rPr>
          <w:rFonts w:ascii="Arial" w:hAnsi="Arial" w:cs="Arial"/>
          <w:lang w:eastAsia="en-AU"/>
        </w:rPr>
      </w:pPr>
      <w:r w:rsidRPr="00D020D3">
        <w:rPr>
          <w:rFonts w:ascii="Arial" w:hAnsi="Arial" w:cs="Arial"/>
          <w:lang w:eastAsia="en-AU"/>
        </w:rPr>
        <w:t>The applicant has also provided a response to the Panel’s earlier comments regarding the location proposed for burying and capping contaminated material found on site. The RAP has been updated to identify the primary location for a contamination cell as being under the commercial use land (Lot 1201), and if another location is required (due to unexpected finds) than under Lot 2716 as well. The contamination cell is no longer proposed under public roads.</w:t>
      </w:r>
    </w:p>
    <w:p w:rsidR="00041DCF" w:rsidRPr="00D020D3" w:rsidRDefault="00041DCF" w:rsidP="00041DCF">
      <w:pPr>
        <w:pStyle w:val="ListParagraph"/>
        <w:numPr>
          <w:ilvl w:val="1"/>
          <w:numId w:val="17"/>
        </w:numPr>
        <w:tabs>
          <w:tab w:val="left" w:pos="7485"/>
        </w:tabs>
        <w:spacing w:line="240" w:lineRule="auto"/>
        <w:ind w:right="23"/>
        <w:rPr>
          <w:rFonts w:ascii="Arial" w:hAnsi="Arial" w:cs="Arial"/>
          <w:b/>
          <w:lang w:eastAsia="en-AU"/>
        </w:rPr>
      </w:pPr>
      <w:r w:rsidRPr="00D020D3">
        <w:rPr>
          <w:rFonts w:ascii="Arial" w:hAnsi="Arial" w:cs="Arial"/>
          <w:b/>
          <w:lang w:eastAsia="en-AU"/>
        </w:rPr>
        <w:t>Mine subsidence</w:t>
      </w:r>
    </w:p>
    <w:p w:rsidR="00041DCF" w:rsidRPr="00D020D3" w:rsidRDefault="00041DCF" w:rsidP="00041DCF">
      <w:pPr>
        <w:tabs>
          <w:tab w:val="left" w:pos="7485"/>
        </w:tabs>
        <w:spacing w:line="240" w:lineRule="auto"/>
        <w:ind w:right="23"/>
        <w:rPr>
          <w:rFonts w:ascii="Arial" w:hAnsi="Arial" w:cs="Arial"/>
          <w:lang w:eastAsia="en-AU"/>
        </w:rPr>
      </w:pPr>
      <w:r w:rsidRPr="00D020D3">
        <w:rPr>
          <w:rFonts w:ascii="Arial" w:hAnsi="Arial" w:cs="Arial"/>
          <w:lang w:eastAsia="en-AU"/>
        </w:rPr>
        <w:t>The applicant has engaged directly with SANSW to satisfy outstanding matters from the authority’s assessment. The applicant submits that an agreement has been reached and SANSW’s conditional approval should be imminently received by Council. The approval has not been received at this time but will be followed up by Council.</w:t>
      </w:r>
    </w:p>
    <w:p w:rsidR="00735F1B" w:rsidRPr="00D020D3" w:rsidRDefault="00735F1B" w:rsidP="00735F1B">
      <w:pPr>
        <w:pStyle w:val="ListParagraph"/>
        <w:numPr>
          <w:ilvl w:val="1"/>
          <w:numId w:val="17"/>
        </w:numPr>
        <w:tabs>
          <w:tab w:val="left" w:pos="7485"/>
        </w:tabs>
        <w:spacing w:line="240" w:lineRule="auto"/>
        <w:ind w:right="23"/>
        <w:rPr>
          <w:rFonts w:ascii="Arial" w:hAnsi="Arial" w:cs="Arial"/>
          <w:b/>
          <w:lang w:eastAsia="en-AU"/>
        </w:rPr>
      </w:pPr>
      <w:r w:rsidRPr="00D020D3">
        <w:rPr>
          <w:rFonts w:ascii="Arial" w:hAnsi="Arial" w:cs="Arial"/>
          <w:b/>
          <w:lang w:eastAsia="en-AU"/>
        </w:rPr>
        <w:t>Earthworks</w:t>
      </w:r>
    </w:p>
    <w:p w:rsidR="00735F1B" w:rsidRPr="00D020D3" w:rsidRDefault="00735F1B" w:rsidP="00735F1B">
      <w:pPr>
        <w:tabs>
          <w:tab w:val="left" w:pos="7485"/>
        </w:tabs>
        <w:spacing w:line="240" w:lineRule="auto"/>
        <w:ind w:right="23"/>
        <w:rPr>
          <w:rFonts w:ascii="Arial" w:hAnsi="Arial" w:cs="Arial"/>
          <w:lang w:eastAsia="en-AU"/>
        </w:rPr>
      </w:pPr>
      <w:r w:rsidRPr="00D020D3">
        <w:rPr>
          <w:rFonts w:ascii="Arial" w:hAnsi="Arial" w:cs="Arial"/>
          <w:lang w:eastAsia="en-AU"/>
        </w:rPr>
        <w:t>Updated civil plans have been submitted depicting the extent of earthworks across the development site. The proposed development includes significant cut and fill in areas which is required in order to achieve an appropriate residential subdivision, with compliant road grades and terracing of lots, across a generally steep terrain.</w:t>
      </w:r>
    </w:p>
    <w:p w:rsidR="00735F1B" w:rsidRPr="00D020D3" w:rsidRDefault="00735F1B" w:rsidP="00735F1B">
      <w:pPr>
        <w:tabs>
          <w:tab w:val="left" w:pos="7485"/>
        </w:tabs>
        <w:spacing w:line="240" w:lineRule="auto"/>
        <w:ind w:right="23"/>
        <w:rPr>
          <w:rFonts w:ascii="Arial" w:hAnsi="Arial" w:cs="Arial"/>
          <w:lang w:eastAsia="en-AU"/>
        </w:rPr>
      </w:pPr>
      <w:r w:rsidRPr="00D020D3">
        <w:rPr>
          <w:rFonts w:ascii="Arial" w:hAnsi="Arial" w:cs="Arial"/>
          <w:lang w:eastAsia="en-AU"/>
        </w:rPr>
        <w:t>The typical external interface wall has been identified on the engineering plans and landscape plans as being a stacked rock retaining wall following the Panel’s earlier comments.</w:t>
      </w:r>
    </w:p>
    <w:p w:rsidR="00041DCF" w:rsidRPr="00D020D3" w:rsidRDefault="00735F1B" w:rsidP="00041DCF">
      <w:pPr>
        <w:tabs>
          <w:tab w:val="left" w:pos="7485"/>
        </w:tabs>
        <w:spacing w:line="240" w:lineRule="auto"/>
        <w:ind w:right="23"/>
        <w:rPr>
          <w:rFonts w:ascii="Arial" w:hAnsi="Arial" w:cs="Arial"/>
          <w:lang w:eastAsia="en-AU"/>
        </w:rPr>
      </w:pPr>
      <w:r w:rsidRPr="00D020D3">
        <w:rPr>
          <w:noProof/>
        </w:rPr>
        <w:lastRenderedPageBreak/>
        <w:drawing>
          <wp:inline distT="0" distB="0" distL="0" distR="0">
            <wp:extent cx="2019300" cy="2333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333625"/>
                    </a:xfrm>
                    <a:prstGeom prst="rect">
                      <a:avLst/>
                    </a:prstGeom>
                    <a:noFill/>
                    <a:ln>
                      <a:noFill/>
                    </a:ln>
                  </pic:spPr>
                </pic:pic>
              </a:graphicData>
            </a:graphic>
          </wp:inline>
        </w:drawing>
      </w:r>
    </w:p>
    <w:p w:rsidR="00735F1B" w:rsidRPr="00D020D3" w:rsidRDefault="00735F1B" w:rsidP="00041DCF">
      <w:pPr>
        <w:tabs>
          <w:tab w:val="left" w:pos="7485"/>
        </w:tabs>
        <w:spacing w:line="240" w:lineRule="auto"/>
        <w:ind w:right="23"/>
        <w:rPr>
          <w:rFonts w:ascii="Arial" w:hAnsi="Arial" w:cs="Arial"/>
          <w:lang w:eastAsia="en-AU"/>
        </w:rPr>
      </w:pPr>
      <w:r w:rsidRPr="00D020D3">
        <w:rPr>
          <w:rFonts w:ascii="Arial" w:hAnsi="Arial" w:cs="Arial"/>
          <w:lang w:eastAsia="en-AU"/>
        </w:rPr>
        <w:t>There remains some uncertainty as to the impacts of proposed retaining walls on trees nominated for retention. Further information will be requested from the applicant to address this.</w:t>
      </w:r>
    </w:p>
    <w:p w:rsidR="00735F1B" w:rsidRPr="00D020D3" w:rsidRDefault="00735F1B" w:rsidP="00735F1B">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Odour impacts from Summerhill Waste Management Centre</w:t>
      </w:r>
    </w:p>
    <w:p w:rsidR="00735F1B" w:rsidRPr="00D020D3" w:rsidRDefault="00735F1B" w:rsidP="00041DCF">
      <w:pPr>
        <w:tabs>
          <w:tab w:val="left" w:pos="7485"/>
        </w:tabs>
        <w:spacing w:line="240" w:lineRule="auto"/>
        <w:ind w:right="23"/>
        <w:rPr>
          <w:rFonts w:ascii="Arial" w:hAnsi="Arial" w:cs="Arial"/>
          <w:lang w:eastAsia="en-AU"/>
        </w:rPr>
      </w:pPr>
      <w:r w:rsidRPr="00D020D3">
        <w:rPr>
          <w:rFonts w:ascii="Arial" w:hAnsi="Arial" w:cs="Arial"/>
          <w:bCs/>
          <w:lang w:eastAsia="en-AU"/>
        </w:rPr>
        <w:t xml:space="preserve">Council had raised concerns under the original application with the assumptions and methodology employed under the submitted odour assessment. The applicant submitted an addendum report under the review application, indicating the original assessment catered for ‘worst case’ scenarios negating the need for further assessment. </w:t>
      </w:r>
      <w:r w:rsidR="00975188" w:rsidRPr="00D020D3">
        <w:rPr>
          <w:rFonts w:ascii="Arial" w:hAnsi="Arial" w:cs="Arial"/>
          <w:bCs/>
          <w:lang w:eastAsia="en-AU"/>
        </w:rPr>
        <w:t>Council’s Air Quality Officer maintains further verification is required for the proposed assessment methods, and a request for information has been issued to the applicant.</w:t>
      </w:r>
    </w:p>
    <w:p w:rsidR="00975188" w:rsidRPr="00D020D3" w:rsidRDefault="00975188" w:rsidP="00975188">
      <w:pPr>
        <w:pStyle w:val="ListParagraph"/>
        <w:numPr>
          <w:ilvl w:val="1"/>
          <w:numId w:val="17"/>
        </w:numPr>
        <w:tabs>
          <w:tab w:val="left" w:pos="7485"/>
        </w:tabs>
        <w:spacing w:line="240" w:lineRule="auto"/>
        <w:ind w:right="23"/>
        <w:rPr>
          <w:rFonts w:ascii="Arial" w:hAnsi="Arial" w:cs="Arial"/>
          <w:b/>
          <w:lang w:eastAsia="en-AU"/>
        </w:rPr>
      </w:pPr>
      <w:r w:rsidRPr="00D020D3">
        <w:rPr>
          <w:rFonts w:ascii="Arial" w:hAnsi="Arial" w:cs="Arial"/>
          <w:b/>
          <w:lang w:eastAsia="en-AU"/>
        </w:rPr>
        <w:t>Local park design / size</w:t>
      </w:r>
    </w:p>
    <w:p w:rsidR="00975188" w:rsidRPr="00D020D3" w:rsidRDefault="00975188" w:rsidP="00975188">
      <w:pPr>
        <w:tabs>
          <w:tab w:val="left" w:pos="7485"/>
        </w:tabs>
        <w:spacing w:line="240" w:lineRule="auto"/>
        <w:ind w:right="23"/>
        <w:rPr>
          <w:rFonts w:ascii="Arial" w:hAnsi="Arial" w:cs="Arial"/>
          <w:lang w:eastAsia="en-AU"/>
        </w:rPr>
      </w:pPr>
      <w:r w:rsidRPr="00D020D3">
        <w:rPr>
          <w:rFonts w:ascii="Arial" w:hAnsi="Arial" w:cs="Arial"/>
          <w:lang w:eastAsia="en-AU"/>
        </w:rPr>
        <w:t>Further information has been provided regarding the size and design of the proposed local parks, including landscape concept plan.</w:t>
      </w:r>
    </w:p>
    <w:p w:rsidR="00975188" w:rsidRPr="00D020D3" w:rsidRDefault="00975188" w:rsidP="00975188">
      <w:pPr>
        <w:tabs>
          <w:tab w:val="left" w:pos="7485"/>
        </w:tabs>
        <w:spacing w:line="240" w:lineRule="auto"/>
        <w:ind w:right="23"/>
        <w:rPr>
          <w:rFonts w:ascii="Arial" w:hAnsi="Arial" w:cs="Arial"/>
          <w:lang w:eastAsia="en-AU"/>
        </w:rPr>
      </w:pPr>
      <w:r w:rsidRPr="00D020D3">
        <w:rPr>
          <w:rFonts w:ascii="Arial" w:hAnsi="Arial" w:cs="Arial"/>
          <w:lang w:eastAsia="en-AU"/>
        </w:rPr>
        <w:t>The information has been referred to Council’s Recreation Land Use Planner for consideration, and a response has not yet been received.</w:t>
      </w:r>
    </w:p>
    <w:p w:rsidR="00975188" w:rsidRPr="00D020D3" w:rsidRDefault="00975188" w:rsidP="00975188">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Residual LMCC land in City of Newcastle</w:t>
      </w:r>
    </w:p>
    <w:p w:rsidR="00975188" w:rsidRPr="00D020D3" w:rsidRDefault="00975188" w:rsidP="00975188">
      <w:pPr>
        <w:rPr>
          <w:rFonts w:ascii="Arial" w:hAnsi="Arial" w:cs="Arial"/>
        </w:rPr>
      </w:pPr>
      <w:bookmarkStart w:id="2" w:name="_Hlk107255156"/>
      <w:r w:rsidRPr="00D020D3">
        <w:rPr>
          <w:rFonts w:ascii="Arial" w:hAnsi="Arial" w:cs="Arial"/>
        </w:rPr>
        <w:t>Following the previous RPP briefing, it is understood the residual LMCC land in the City of Newcastle DA will need to be submitted as part of the LMCC DA.</w:t>
      </w:r>
    </w:p>
    <w:p w:rsidR="00975188" w:rsidRPr="00D020D3" w:rsidRDefault="00975188" w:rsidP="00975188">
      <w:pPr>
        <w:rPr>
          <w:rFonts w:ascii="Arial" w:hAnsi="Arial" w:cs="Arial"/>
          <w:lang w:eastAsia="en-AU"/>
        </w:rPr>
      </w:pPr>
      <w:r w:rsidRPr="00D020D3">
        <w:rPr>
          <w:rFonts w:ascii="Arial" w:hAnsi="Arial" w:cs="Arial"/>
        </w:rPr>
        <w:t>The application now provides lot 4003 as part of the LMCC application.</w:t>
      </w:r>
      <w:bookmarkEnd w:id="2"/>
    </w:p>
    <w:p w:rsidR="00975188" w:rsidRPr="00D020D3" w:rsidRDefault="00975188" w:rsidP="00975188">
      <w:pPr>
        <w:tabs>
          <w:tab w:val="left" w:pos="7485"/>
        </w:tabs>
        <w:spacing w:line="240" w:lineRule="auto"/>
        <w:ind w:right="23"/>
        <w:rPr>
          <w:rFonts w:ascii="Arial" w:hAnsi="Arial" w:cs="Arial"/>
          <w:lang w:eastAsia="en-AU"/>
        </w:rPr>
      </w:pPr>
      <w:r w:rsidRPr="00D020D3">
        <w:rPr>
          <w:noProof/>
        </w:rPr>
        <w:drawing>
          <wp:inline distT="0" distB="0" distL="0" distR="0" wp14:anchorId="5E90F12B" wp14:editId="7DB0DD28">
            <wp:extent cx="240030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300" cy="1419225"/>
                    </a:xfrm>
                    <a:prstGeom prst="rect">
                      <a:avLst/>
                    </a:prstGeom>
                  </pic:spPr>
                </pic:pic>
              </a:graphicData>
            </a:graphic>
          </wp:inline>
        </w:drawing>
      </w:r>
    </w:p>
    <w:p w:rsidR="008D21FF" w:rsidRPr="00D020D3" w:rsidRDefault="00975188" w:rsidP="008D21FF">
      <w:pPr>
        <w:tabs>
          <w:tab w:val="left" w:pos="7485"/>
        </w:tabs>
        <w:spacing w:line="240" w:lineRule="auto"/>
        <w:ind w:right="23"/>
        <w:rPr>
          <w:rFonts w:ascii="Arial" w:hAnsi="Arial" w:cs="Arial"/>
          <w:b/>
          <w:lang w:eastAsia="en-AU"/>
        </w:rPr>
      </w:pPr>
      <w:r w:rsidRPr="00D020D3">
        <w:rPr>
          <w:rFonts w:ascii="Arial" w:hAnsi="Arial" w:cs="Arial"/>
          <w:lang w:eastAsia="en-AU"/>
        </w:rPr>
        <w:t>It is noted a mixture of zones apply to lot 4003, including R2, C2 and SP2. The C2 zoned land is affected by a 40ha minimum lot size, which is not achieved by the 22.5ha proposed lot. It is understood that the minimum lot size requirements under LMLEP are not applicable to the extent to which they are inconsistent with the provisions of the concept approval.</w:t>
      </w:r>
    </w:p>
    <w:p w:rsidR="00C42961" w:rsidRPr="00D020D3" w:rsidRDefault="00736F17" w:rsidP="00C42961">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Waste servicing</w:t>
      </w:r>
      <w:r w:rsidR="006166E8" w:rsidRPr="00D020D3">
        <w:rPr>
          <w:rFonts w:ascii="Arial" w:hAnsi="Arial" w:cs="Arial"/>
          <w:b/>
          <w:lang w:eastAsia="en-AU"/>
        </w:rPr>
        <w:t xml:space="preserve"> and Concept Approval</w:t>
      </w:r>
    </w:p>
    <w:p w:rsidR="00DF6757" w:rsidRPr="00D020D3" w:rsidRDefault="00DF6757" w:rsidP="006166E8">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lastRenderedPageBreak/>
        <w:t>Condition 1.34 of the Concept Approval require the applicant to demonstrate that key link roads from Minmi Boulevard to the Summerhill Waste Management Centre can accommodate waste removal vehicles. This link is predominately made by collector roads, to road MC84, and therefore garbage trucks are accommodated. An indicative connection from road MC84 to SWMC has been provided.</w:t>
      </w:r>
    </w:p>
    <w:p w:rsidR="006166E8" w:rsidRPr="00D020D3" w:rsidRDefault="006166E8" w:rsidP="006166E8">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t>In general, the applicant submits the internal road network achieves the waste servicing requirements as included in the condition.</w:t>
      </w:r>
    </w:p>
    <w:p w:rsidR="00DF6757" w:rsidRPr="00D020D3" w:rsidRDefault="00DF6757" w:rsidP="006166E8">
      <w:pPr>
        <w:tabs>
          <w:tab w:val="left" w:pos="7485"/>
        </w:tabs>
        <w:spacing w:line="240" w:lineRule="auto"/>
        <w:ind w:right="23"/>
        <w:rPr>
          <w:rFonts w:ascii="Arial" w:hAnsi="Arial" w:cs="Arial"/>
          <w:bCs/>
          <w:color w:val="000000" w:themeColor="text1"/>
          <w:lang w:eastAsia="en-AU"/>
        </w:rPr>
      </w:pPr>
      <w:r w:rsidRPr="00D020D3">
        <w:rPr>
          <w:rFonts w:ascii="Arial" w:hAnsi="Arial" w:cs="Arial"/>
          <w:bCs/>
          <w:color w:val="000000" w:themeColor="text1"/>
          <w:lang w:eastAsia="en-AU"/>
        </w:rPr>
        <w:t>Council’s Development Engineer has specified that the plan is not a realistic connection to SWMC, and not likely to the City of Newcastle’s requirements, however it does demonstrate a suitable access with appropriate grades can be made in the future.</w:t>
      </w:r>
    </w:p>
    <w:p w:rsidR="006166E8" w:rsidRPr="00D020D3" w:rsidRDefault="006166E8" w:rsidP="006166E8">
      <w:pPr>
        <w:pStyle w:val="ListParagraph"/>
        <w:numPr>
          <w:ilvl w:val="1"/>
          <w:numId w:val="17"/>
        </w:numPr>
        <w:tabs>
          <w:tab w:val="left" w:pos="426"/>
        </w:tabs>
        <w:spacing w:after="160" w:line="240" w:lineRule="auto"/>
        <w:ind w:right="23"/>
        <w:contextualSpacing w:val="0"/>
        <w:rPr>
          <w:rFonts w:ascii="Arial" w:hAnsi="Arial" w:cs="Arial"/>
          <w:b/>
          <w:lang w:eastAsia="en-AU"/>
        </w:rPr>
      </w:pPr>
      <w:r w:rsidRPr="00D020D3">
        <w:rPr>
          <w:rFonts w:ascii="Arial" w:hAnsi="Arial" w:cs="Arial"/>
          <w:b/>
          <w:lang w:eastAsia="en-AU"/>
        </w:rPr>
        <w:t>Bushfire</w:t>
      </w:r>
    </w:p>
    <w:p w:rsidR="006166E8" w:rsidRPr="00D020D3" w:rsidRDefault="00D43D92" w:rsidP="006166E8">
      <w:pPr>
        <w:tabs>
          <w:tab w:val="left" w:pos="7485"/>
        </w:tabs>
        <w:spacing w:line="240" w:lineRule="auto"/>
        <w:ind w:right="23"/>
        <w:rPr>
          <w:rFonts w:ascii="Arial" w:hAnsi="Arial" w:cs="Arial"/>
          <w:lang w:eastAsia="en-AU"/>
        </w:rPr>
      </w:pPr>
      <w:r w:rsidRPr="00D020D3">
        <w:rPr>
          <w:rFonts w:ascii="Arial" w:hAnsi="Arial" w:cs="Arial"/>
          <w:lang w:eastAsia="en-AU"/>
        </w:rPr>
        <w:t xml:space="preserve">NSW RFS have provided a response under the review application indicating their original conditional approval stands. It is noted that a subdivision BAL plan by Bushfire Planning Australia does not exactly match the BAL plan in the bushfire management report. The BAL plan in the bushfire management plan shows an APZ in the road reserve which is not supported.  Further information has been requested </w:t>
      </w:r>
      <w:r w:rsidR="00DF6757" w:rsidRPr="00D020D3">
        <w:rPr>
          <w:rFonts w:ascii="Arial" w:hAnsi="Arial" w:cs="Arial"/>
          <w:lang w:eastAsia="en-AU"/>
        </w:rPr>
        <w:t>in this regard.</w:t>
      </w:r>
    </w:p>
    <w:p w:rsidR="00736F17" w:rsidRPr="00D020D3" w:rsidRDefault="00736F17" w:rsidP="00C42961">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Vegetation and Habitat Management Plan</w:t>
      </w:r>
    </w:p>
    <w:p w:rsidR="00AB4282" w:rsidRPr="00D020D3" w:rsidRDefault="002567E9" w:rsidP="00AB4282">
      <w:pPr>
        <w:rPr>
          <w:rFonts w:ascii="Arial" w:hAnsi="Arial" w:cs="Arial"/>
        </w:rPr>
      </w:pPr>
      <w:bookmarkStart w:id="3" w:name="_Hlk107255248"/>
      <w:r w:rsidRPr="00D020D3">
        <w:rPr>
          <w:rFonts w:ascii="Arial" w:hAnsi="Arial" w:cs="Arial"/>
        </w:rPr>
        <w:t>The NSW Biodiversity Conservation Division (</w:t>
      </w:r>
      <w:r w:rsidR="00C42961" w:rsidRPr="00D020D3">
        <w:rPr>
          <w:rFonts w:ascii="Arial" w:hAnsi="Arial" w:cs="Arial"/>
        </w:rPr>
        <w:t>BCD</w:t>
      </w:r>
      <w:r w:rsidRPr="00D020D3">
        <w:rPr>
          <w:rFonts w:ascii="Arial" w:hAnsi="Arial" w:cs="Arial"/>
        </w:rPr>
        <w:t>)</w:t>
      </w:r>
      <w:r w:rsidR="00C42961" w:rsidRPr="00D020D3">
        <w:rPr>
          <w:rFonts w:ascii="Arial" w:hAnsi="Arial" w:cs="Arial"/>
        </w:rPr>
        <w:t xml:space="preserve"> are generally supportive of the amended application and have </w:t>
      </w:r>
      <w:r w:rsidR="00AB4282" w:rsidRPr="00D020D3">
        <w:rPr>
          <w:rFonts w:ascii="Arial" w:hAnsi="Arial" w:cs="Arial"/>
        </w:rPr>
        <w:t>recommended that</w:t>
      </w:r>
      <w:r w:rsidR="00C42961" w:rsidRPr="00D020D3">
        <w:rPr>
          <w:rFonts w:ascii="Arial" w:hAnsi="Arial" w:cs="Arial"/>
        </w:rPr>
        <w:t xml:space="preserve"> some aspects of the </w:t>
      </w:r>
      <w:r w:rsidR="00CE7752" w:rsidRPr="00D020D3">
        <w:rPr>
          <w:rFonts w:ascii="Arial" w:hAnsi="Arial" w:cs="Arial"/>
        </w:rPr>
        <w:t xml:space="preserve">Vegetation and Habitat Management Plan </w:t>
      </w:r>
      <w:r w:rsidR="00C42961" w:rsidRPr="00D020D3">
        <w:rPr>
          <w:rFonts w:ascii="Arial" w:hAnsi="Arial" w:cs="Arial"/>
        </w:rPr>
        <w:t>be amended to reflect best practice</w:t>
      </w:r>
      <w:r w:rsidR="00AB4282" w:rsidRPr="00D020D3">
        <w:rPr>
          <w:rFonts w:ascii="Arial" w:hAnsi="Arial" w:cs="Arial"/>
        </w:rPr>
        <w:t xml:space="preserve">. The majority of these recommendations have been accepted by </w:t>
      </w:r>
      <w:proofErr w:type="spellStart"/>
      <w:r w:rsidR="00AB4282" w:rsidRPr="00D020D3">
        <w:rPr>
          <w:rFonts w:ascii="Arial" w:hAnsi="Arial" w:cs="Arial"/>
        </w:rPr>
        <w:t>Winten</w:t>
      </w:r>
      <w:proofErr w:type="spellEnd"/>
      <w:r w:rsidR="00AB4282" w:rsidRPr="00D020D3">
        <w:rPr>
          <w:rFonts w:ascii="Arial" w:hAnsi="Arial" w:cs="Arial"/>
        </w:rPr>
        <w:t xml:space="preserve"> with the exception of:</w:t>
      </w:r>
    </w:p>
    <w:p w:rsidR="00AB4282" w:rsidRPr="00D020D3" w:rsidRDefault="00AB4282" w:rsidP="00AB4282">
      <w:pPr>
        <w:pStyle w:val="Default"/>
        <w:numPr>
          <w:ilvl w:val="0"/>
          <w:numId w:val="30"/>
        </w:numPr>
        <w:spacing w:before="160" w:after="160"/>
        <w:ind w:left="714" w:hanging="357"/>
        <w:rPr>
          <w:sz w:val="22"/>
          <w:szCs w:val="22"/>
        </w:rPr>
      </w:pPr>
      <w:r w:rsidRPr="00D020D3">
        <w:rPr>
          <w:sz w:val="22"/>
          <w:szCs w:val="22"/>
        </w:rPr>
        <w:t xml:space="preserve">Scheduling the clearing works for a time of year to avoid the breeding seasons of identified potential threatened species that may breed on site; and </w:t>
      </w:r>
    </w:p>
    <w:p w:rsidR="00AB4282" w:rsidRPr="00D020D3" w:rsidRDefault="00AB4282" w:rsidP="00AB4282">
      <w:pPr>
        <w:pStyle w:val="Default"/>
        <w:numPr>
          <w:ilvl w:val="0"/>
          <w:numId w:val="30"/>
        </w:numPr>
        <w:spacing w:before="160" w:after="160"/>
        <w:ind w:left="714" w:hanging="357"/>
        <w:rPr>
          <w:sz w:val="22"/>
          <w:szCs w:val="22"/>
        </w:rPr>
      </w:pPr>
      <w:r w:rsidRPr="00D020D3">
        <w:rPr>
          <w:sz w:val="22"/>
          <w:szCs w:val="22"/>
        </w:rPr>
        <w:t xml:space="preserve">Tree clearing not being conducted above 35°C for the interests of animal welfare. </w:t>
      </w:r>
    </w:p>
    <w:p w:rsidR="00AB4282" w:rsidRPr="00D020D3" w:rsidRDefault="002567E9" w:rsidP="00AB4282">
      <w:pPr>
        <w:pStyle w:val="Default"/>
        <w:numPr>
          <w:ilvl w:val="0"/>
          <w:numId w:val="30"/>
        </w:numPr>
        <w:spacing w:before="160" w:after="160"/>
        <w:ind w:left="714" w:hanging="357"/>
        <w:rPr>
          <w:sz w:val="22"/>
          <w:szCs w:val="22"/>
        </w:rPr>
      </w:pPr>
      <w:r w:rsidRPr="00D020D3">
        <w:rPr>
          <w:sz w:val="22"/>
          <w:szCs w:val="22"/>
        </w:rPr>
        <w:t>A</w:t>
      </w:r>
      <w:r w:rsidR="00AB4282" w:rsidRPr="00D020D3">
        <w:rPr>
          <w:sz w:val="22"/>
          <w:szCs w:val="22"/>
        </w:rPr>
        <w:t xml:space="preserve"> pre-clearance management plan be prepared to the satisfaction of BCD by a suitably qualified fauna ecologist </w:t>
      </w:r>
    </w:p>
    <w:p w:rsidR="002D3CF7" w:rsidRPr="00D020D3" w:rsidRDefault="002567E9" w:rsidP="002567E9">
      <w:pPr>
        <w:pStyle w:val="Default"/>
        <w:rPr>
          <w:sz w:val="22"/>
          <w:szCs w:val="22"/>
        </w:rPr>
      </w:pPr>
      <w:proofErr w:type="spellStart"/>
      <w:r w:rsidRPr="00D020D3">
        <w:rPr>
          <w:sz w:val="22"/>
          <w:szCs w:val="22"/>
        </w:rPr>
        <w:t>Winten</w:t>
      </w:r>
      <w:proofErr w:type="spellEnd"/>
      <w:r w:rsidRPr="00D020D3">
        <w:rPr>
          <w:sz w:val="22"/>
          <w:szCs w:val="22"/>
        </w:rPr>
        <w:t xml:space="preserve"> submits that the above requirements are unreasonable, and moreover, there is no statutory basis to impose them as they have meet associated obligations under the concept approval.</w:t>
      </w:r>
      <w:r w:rsidR="002D3CF7" w:rsidRPr="00D020D3">
        <w:rPr>
          <w:sz w:val="22"/>
          <w:szCs w:val="22"/>
        </w:rPr>
        <w:t xml:space="preserve"> </w:t>
      </w:r>
      <w:r w:rsidRPr="00D020D3">
        <w:rPr>
          <w:sz w:val="22"/>
          <w:szCs w:val="22"/>
        </w:rPr>
        <w:t xml:space="preserve">Council acknowledges that BDC’s </w:t>
      </w:r>
      <w:r w:rsidR="002D3CF7" w:rsidRPr="00D020D3">
        <w:rPr>
          <w:sz w:val="22"/>
          <w:szCs w:val="22"/>
        </w:rPr>
        <w:t xml:space="preserve">comments have been conveyed as recommendations rather than requirements. </w:t>
      </w:r>
    </w:p>
    <w:p w:rsidR="002D3CF7" w:rsidRPr="00D020D3" w:rsidRDefault="002D3CF7" w:rsidP="002567E9">
      <w:pPr>
        <w:pStyle w:val="Default"/>
        <w:rPr>
          <w:sz w:val="22"/>
          <w:szCs w:val="22"/>
        </w:rPr>
      </w:pPr>
    </w:p>
    <w:p w:rsidR="002567E9" w:rsidRPr="00D020D3" w:rsidRDefault="002D3CF7" w:rsidP="002567E9">
      <w:pPr>
        <w:pStyle w:val="Default"/>
        <w:rPr>
          <w:sz w:val="22"/>
          <w:szCs w:val="22"/>
        </w:rPr>
      </w:pPr>
      <w:r w:rsidRPr="00D020D3">
        <w:rPr>
          <w:sz w:val="22"/>
          <w:szCs w:val="22"/>
        </w:rPr>
        <w:t xml:space="preserve">The Panel’s guidance is requested on this element of the assessment. </w:t>
      </w:r>
    </w:p>
    <w:p w:rsidR="002567E9" w:rsidRPr="00D020D3" w:rsidRDefault="002567E9" w:rsidP="002567E9">
      <w:pPr>
        <w:pStyle w:val="Default"/>
      </w:pPr>
    </w:p>
    <w:bookmarkEnd w:id="3"/>
    <w:p w:rsidR="00C42961" w:rsidRPr="00D020D3" w:rsidRDefault="00736F17" w:rsidP="00C42961">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Acoustic attenuation</w:t>
      </w:r>
    </w:p>
    <w:p w:rsidR="00016E16" w:rsidRPr="00D020D3" w:rsidRDefault="003B2CB7" w:rsidP="00016E16">
      <w:pPr>
        <w:tabs>
          <w:tab w:val="left" w:pos="7485"/>
        </w:tabs>
        <w:spacing w:line="240" w:lineRule="auto"/>
        <w:ind w:right="23"/>
        <w:rPr>
          <w:rFonts w:ascii="Arial" w:hAnsi="Arial" w:cs="Arial"/>
          <w:bCs/>
          <w:lang w:eastAsia="en-AU"/>
        </w:rPr>
      </w:pPr>
      <w:r w:rsidRPr="00D020D3">
        <w:rPr>
          <w:rFonts w:ascii="Arial" w:hAnsi="Arial" w:cs="Arial"/>
          <w:bCs/>
          <w:lang w:eastAsia="en-AU"/>
        </w:rPr>
        <w:t>An updated acoustic report has been provided under the review application in response to the associated comments under the Panel’s reasons for refusal for the original application.</w:t>
      </w:r>
    </w:p>
    <w:p w:rsidR="003B2CB7" w:rsidRPr="00D020D3" w:rsidRDefault="003B2CB7" w:rsidP="00016E16">
      <w:pPr>
        <w:tabs>
          <w:tab w:val="left" w:pos="7485"/>
        </w:tabs>
        <w:spacing w:line="240" w:lineRule="auto"/>
        <w:ind w:right="23"/>
        <w:rPr>
          <w:rFonts w:ascii="Arial" w:hAnsi="Arial" w:cs="Arial"/>
          <w:lang w:eastAsia="en-AU"/>
        </w:rPr>
      </w:pPr>
      <w:r w:rsidRPr="00D020D3">
        <w:rPr>
          <w:rFonts w:ascii="Arial" w:hAnsi="Arial" w:cs="Arial"/>
          <w:lang w:eastAsia="en-AU"/>
        </w:rPr>
        <w:t>The report is under assessment by Council’s Environmental Health Officer but a referral response has not been received to date.</w:t>
      </w:r>
    </w:p>
    <w:p w:rsidR="006166E8" w:rsidRPr="00D020D3" w:rsidRDefault="00736F17" w:rsidP="006166E8">
      <w:pPr>
        <w:pStyle w:val="ListParagraph"/>
        <w:numPr>
          <w:ilvl w:val="1"/>
          <w:numId w:val="17"/>
        </w:numPr>
        <w:tabs>
          <w:tab w:val="left" w:pos="426"/>
        </w:tabs>
        <w:spacing w:line="240" w:lineRule="auto"/>
        <w:ind w:right="23"/>
        <w:rPr>
          <w:rFonts w:ascii="Arial" w:hAnsi="Arial" w:cs="Arial"/>
          <w:b/>
          <w:lang w:eastAsia="en-AU"/>
        </w:rPr>
      </w:pPr>
      <w:r w:rsidRPr="00D020D3">
        <w:rPr>
          <w:rFonts w:ascii="Arial" w:hAnsi="Arial" w:cs="Arial"/>
          <w:b/>
          <w:lang w:eastAsia="en-AU"/>
        </w:rPr>
        <w:t>VPA</w:t>
      </w:r>
    </w:p>
    <w:p w:rsidR="00872DDB" w:rsidRPr="00D020D3" w:rsidRDefault="00872DDB" w:rsidP="00CE7752">
      <w:pPr>
        <w:tabs>
          <w:tab w:val="left" w:pos="426"/>
        </w:tabs>
        <w:spacing w:line="240" w:lineRule="auto"/>
        <w:ind w:right="23"/>
        <w:rPr>
          <w:rFonts w:ascii="Arial" w:hAnsi="Arial" w:cs="Arial"/>
          <w:lang w:eastAsia="en-AU"/>
        </w:rPr>
      </w:pPr>
      <w:bookmarkStart w:id="4" w:name="_Hlk107255090"/>
      <w:r w:rsidRPr="00D020D3">
        <w:rPr>
          <w:rFonts w:ascii="Arial" w:hAnsi="Arial" w:cs="Arial"/>
          <w:lang w:eastAsia="en-AU"/>
        </w:rPr>
        <w:t xml:space="preserve">Council is in the process of seeking endorsement from the LMCC Elected Council for the letter of offer submitted by </w:t>
      </w:r>
      <w:proofErr w:type="spellStart"/>
      <w:r w:rsidRPr="00D020D3">
        <w:rPr>
          <w:rFonts w:ascii="Arial" w:hAnsi="Arial" w:cs="Arial"/>
          <w:lang w:eastAsia="en-AU"/>
        </w:rPr>
        <w:t>Winten</w:t>
      </w:r>
      <w:proofErr w:type="spellEnd"/>
      <w:r w:rsidRPr="00D020D3">
        <w:rPr>
          <w:rFonts w:ascii="Arial" w:hAnsi="Arial" w:cs="Arial"/>
          <w:lang w:eastAsia="en-AU"/>
        </w:rPr>
        <w:t xml:space="preserve"> for the provision of recreation facilities for the proposal. The matter is scheduled to be considered by Council on 19 June.</w:t>
      </w:r>
    </w:p>
    <w:p w:rsidR="00CE7752" w:rsidRPr="00D020D3" w:rsidRDefault="00872DDB" w:rsidP="00CE7752">
      <w:pPr>
        <w:tabs>
          <w:tab w:val="left" w:pos="426"/>
        </w:tabs>
        <w:spacing w:line="240" w:lineRule="auto"/>
        <w:ind w:right="23"/>
        <w:rPr>
          <w:rFonts w:ascii="Arial" w:hAnsi="Arial" w:cs="Arial"/>
          <w:lang w:eastAsia="en-AU"/>
        </w:rPr>
      </w:pPr>
      <w:r w:rsidRPr="00D020D3">
        <w:rPr>
          <w:rFonts w:ascii="Arial" w:hAnsi="Arial" w:cs="Arial"/>
          <w:lang w:eastAsia="en-AU"/>
        </w:rPr>
        <w:t>A final draft of the full VPA is being prepared in the meantime.</w:t>
      </w:r>
    </w:p>
    <w:p w:rsidR="00872DDB" w:rsidRPr="00D020D3" w:rsidRDefault="00872DDB" w:rsidP="00CE7752">
      <w:pPr>
        <w:tabs>
          <w:tab w:val="left" w:pos="426"/>
        </w:tabs>
        <w:spacing w:line="240" w:lineRule="auto"/>
        <w:ind w:right="23"/>
        <w:rPr>
          <w:rFonts w:ascii="Arial" w:hAnsi="Arial" w:cs="Arial"/>
          <w:lang w:eastAsia="en-AU"/>
        </w:rPr>
      </w:pPr>
    </w:p>
    <w:bookmarkEnd w:id="4"/>
    <w:p w:rsidR="009A4AB8" w:rsidRPr="00D020D3" w:rsidRDefault="009A4AB8" w:rsidP="00CC3C6A">
      <w:pPr>
        <w:pStyle w:val="ListParagraph"/>
        <w:numPr>
          <w:ilvl w:val="0"/>
          <w:numId w:val="17"/>
        </w:numPr>
        <w:tabs>
          <w:tab w:val="left" w:pos="7485"/>
        </w:tabs>
        <w:spacing w:line="240" w:lineRule="auto"/>
        <w:ind w:right="23"/>
        <w:rPr>
          <w:rFonts w:ascii="Arial" w:hAnsi="Arial" w:cs="Arial"/>
          <w:b/>
          <w:lang w:eastAsia="en-AU"/>
        </w:rPr>
      </w:pPr>
      <w:r w:rsidRPr="00D020D3">
        <w:rPr>
          <w:rFonts w:ascii="Arial" w:hAnsi="Arial" w:cs="Arial"/>
          <w:b/>
          <w:lang w:eastAsia="en-AU"/>
        </w:rPr>
        <w:lastRenderedPageBreak/>
        <w:t>Recommendation</w:t>
      </w:r>
    </w:p>
    <w:p w:rsidR="00CE7752" w:rsidRPr="00D020D3" w:rsidRDefault="00BF6408" w:rsidP="009A4AB8">
      <w:pPr>
        <w:tabs>
          <w:tab w:val="left" w:pos="7485"/>
        </w:tabs>
        <w:spacing w:line="240" w:lineRule="auto"/>
        <w:ind w:right="23"/>
        <w:rPr>
          <w:rFonts w:ascii="Arial" w:hAnsi="Arial" w:cs="Arial"/>
          <w:lang w:eastAsia="en-AU"/>
        </w:rPr>
      </w:pPr>
      <w:r w:rsidRPr="00D020D3">
        <w:rPr>
          <w:rFonts w:ascii="Arial" w:hAnsi="Arial" w:cs="Arial"/>
          <w:lang w:eastAsia="en-AU"/>
        </w:rPr>
        <w:t>Assessment of the review application will progress upon receipt of all outstanding referral responses and direction from the Panel.</w:t>
      </w:r>
    </w:p>
    <w:p w:rsidR="00483878" w:rsidRPr="00FE74E6" w:rsidRDefault="00483878" w:rsidP="00FE74E6"/>
    <w:sectPr w:rsidR="00483878" w:rsidRPr="00FE74E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022" w:rsidRDefault="000B4022" w:rsidP="00493096">
      <w:pPr>
        <w:spacing w:after="0"/>
      </w:pPr>
      <w:r>
        <w:separator/>
      </w:r>
    </w:p>
  </w:endnote>
  <w:endnote w:type="continuationSeparator" w:id="0">
    <w:p w:rsidR="000B4022" w:rsidRDefault="000B4022"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DB" w:rsidRPr="00E33A15" w:rsidRDefault="00872DDB" w:rsidP="009A4AB8">
    <w:pPr>
      <w:pStyle w:val="Footer"/>
      <w:rPr>
        <w:rFonts w:ascii="Arial" w:hAnsi="Arial" w:cs="Arial"/>
        <w:sz w:val="20"/>
        <w:szCs w:val="20"/>
      </w:rPr>
    </w:pPr>
    <w:r w:rsidRPr="00762734">
      <w:rPr>
        <w:rFonts w:ascii="Arial" w:hAnsi="Arial" w:cs="Arial"/>
        <w:sz w:val="20"/>
        <w:szCs w:val="20"/>
      </w:rPr>
      <w:t xml:space="preserve">Assessment </w:t>
    </w:r>
    <w:r>
      <w:rPr>
        <w:rFonts w:ascii="Arial" w:hAnsi="Arial" w:cs="Arial"/>
        <w:sz w:val="20"/>
        <w:szCs w:val="20"/>
      </w:rPr>
      <w:t>b</w:t>
    </w:r>
    <w:r w:rsidRPr="00762734">
      <w:rPr>
        <w:rFonts w:ascii="Arial" w:hAnsi="Arial" w:cs="Arial"/>
        <w:sz w:val="20"/>
        <w:szCs w:val="20"/>
      </w:rPr>
      <w:t xml:space="preserve">riefing </w:t>
    </w:r>
    <w:r>
      <w:rPr>
        <w:rFonts w:ascii="Arial" w:hAnsi="Arial" w:cs="Arial"/>
        <w:sz w:val="20"/>
        <w:szCs w:val="20"/>
      </w:rPr>
      <w:t>r</w:t>
    </w:r>
    <w:r w:rsidRPr="00762734">
      <w:rPr>
        <w:rFonts w:ascii="Arial" w:hAnsi="Arial" w:cs="Arial"/>
        <w:sz w:val="20"/>
        <w:szCs w:val="20"/>
      </w:rPr>
      <w:t>eport:</w:t>
    </w:r>
    <w:r>
      <w:rPr>
        <w:rFonts w:ascii="Arial" w:hAnsi="Arial" w:cs="Arial"/>
        <w:sz w:val="20"/>
        <w:szCs w:val="20"/>
      </w:rPr>
      <w:t xml:space="preserve"> Link Road North </w:t>
    </w:r>
    <w:r w:rsidRPr="0076273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May</w:t>
    </w:r>
    <w:r w:rsidRPr="00762734">
      <w:rPr>
        <w:rFonts w:ascii="Arial" w:hAnsi="Arial" w:cs="Arial"/>
        <w:sz w:val="20"/>
        <w:szCs w:val="20"/>
      </w:rPr>
      <w:t xml:space="preserve"> 202</w:t>
    </w:r>
    <w:r>
      <w:rPr>
        <w:rFonts w:ascii="Arial" w:hAnsi="Arial" w:cs="Arial"/>
        <w:sz w:val="20"/>
        <w:szCs w:val="20"/>
      </w:rPr>
      <w:t>3</w:t>
    </w:r>
    <w:r w:rsidRPr="00762734">
      <w:rPr>
        <w:rFonts w:ascii="Arial" w:hAnsi="Arial" w:cs="Arial"/>
        <w:sz w:val="20"/>
        <w:szCs w:val="20"/>
      </w:rPr>
      <w:t xml:space="preserve"> </w:t>
    </w:r>
    <w:r w:rsidRPr="00762734">
      <w:rPr>
        <w:rFonts w:ascii="Arial" w:hAnsi="Arial" w:cs="Arial"/>
        <w:sz w:val="20"/>
        <w:szCs w:val="20"/>
      </w:rPr>
      <w:tab/>
      <w:t xml:space="preserve"> </w:t>
    </w:r>
    <w:r>
      <w:rPr>
        <w:rFonts w:ascii="Arial" w:hAnsi="Arial" w:cs="Arial"/>
        <w:sz w:val="20"/>
        <w:szCs w:val="20"/>
      </w:rPr>
      <w:tab/>
    </w:r>
    <w:r w:rsidRPr="00762734">
      <w:rPr>
        <w:rFonts w:ascii="Arial" w:hAnsi="Arial" w:cs="Arial"/>
        <w:sz w:val="20"/>
        <w:szCs w:val="20"/>
      </w:rPr>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Pr="00762734">
          <w:rPr>
            <w:rFonts w:ascii="Arial" w:hAnsi="Arial" w:cs="Arial"/>
            <w:sz w:val="20"/>
            <w:szCs w:val="20"/>
          </w:rPr>
          <w:fldChar w:fldCharType="begin"/>
        </w:r>
        <w:r w:rsidRPr="00762734">
          <w:rPr>
            <w:rFonts w:ascii="Arial" w:hAnsi="Arial" w:cs="Arial"/>
            <w:sz w:val="20"/>
            <w:szCs w:val="20"/>
          </w:rPr>
          <w:instrText xml:space="preserve"> PAGE   \* MERGEFORMAT </w:instrText>
        </w:r>
        <w:r w:rsidRPr="00762734">
          <w:rPr>
            <w:rFonts w:ascii="Arial" w:hAnsi="Arial" w:cs="Arial"/>
            <w:sz w:val="20"/>
            <w:szCs w:val="20"/>
          </w:rPr>
          <w:fldChar w:fldCharType="separate"/>
        </w:r>
        <w:r>
          <w:rPr>
            <w:rFonts w:ascii="Arial" w:hAnsi="Arial" w:cs="Arial"/>
            <w:sz w:val="20"/>
            <w:szCs w:val="20"/>
          </w:rPr>
          <w:t>3</w:t>
        </w:r>
        <w:r w:rsidRPr="00762734">
          <w:rPr>
            <w:rFonts w:ascii="Arial" w:hAnsi="Arial" w:cs="Arial"/>
            <w:noProof/>
            <w:sz w:val="20"/>
            <w:szCs w:val="20"/>
          </w:rPr>
          <w:fldChar w:fldCharType="end"/>
        </w:r>
      </w:sdtContent>
    </w:sdt>
  </w:p>
  <w:p w:rsidR="00872DDB" w:rsidRDefault="0087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022" w:rsidRDefault="000B4022" w:rsidP="00493096">
      <w:pPr>
        <w:spacing w:after="0"/>
      </w:pPr>
      <w:r>
        <w:separator/>
      </w:r>
    </w:p>
  </w:footnote>
  <w:footnote w:type="continuationSeparator" w:id="0">
    <w:p w:rsidR="000B4022" w:rsidRDefault="000B4022"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3643FE3"/>
    <w:multiLevelType w:val="hybridMultilevel"/>
    <w:tmpl w:val="706EC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76E25"/>
    <w:multiLevelType w:val="multilevel"/>
    <w:tmpl w:val="8416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E423D"/>
    <w:multiLevelType w:val="hybridMultilevel"/>
    <w:tmpl w:val="C0F4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5079A"/>
    <w:multiLevelType w:val="multilevel"/>
    <w:tmpl w:val="81E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332B5"/>
    <w:multiLevelType w:val="hybridMultilevel"/>
    <w:tmpl w:val="16E4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25A11"/>
    <w:multiLevelType w:val="multilevel"/>
    <w:tmpl w:val="F05C7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F0702"/>
    <w:multiLevelType w:val="multilevel"/>
    <w:tmpl w:val="17F8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17DB8"/>
    <w:multiLevelType w:val="multilevel"/>
    <w:tmpl w:val="B88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02EB9"/>
    <w:multiLevelType w:val="multilevel"/>
    <w:tmpl w:val="796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C39EF"/>
    <w:multiLevelType w:val="multilevel"/>
    <w:tmpl w:val="8918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84021"/>
    <w:multiLevelType w:val="hybridMultilevel"/>
    <w:tmpl w:val="CC50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0710EF"/>
    <w:multiLevelType w:val="multilevel"/>
    <w:tmpl w:val="B75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B3315"/>
    <w:multiLevelType w:val="multilevel"/>
    <w:tmpl w:val="F7A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F0679B"/>
    <w:multiLevelType w:val="multilevel"/>
    <w:tmpl w:val="F7A890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35768A"/>
    <w:multiLevelType w:val="hybridMultilevel"/>
    <w:tmpl w:val="CB786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481A72"/>
    <w:multiLevelType w:val="hybridMultilevel"/>
    <w:tmpl w:val="77E0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D87BCE"/>
    <w:multiLevelType w:val="multilevel"/>
    <w:tmpl w:val="B83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D8448FE"/>
    <w:multiLevelType w:val="multilevel"/>
    <w:tmpl w:val="ED7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8028E0"/>
    <w:multiLevelType w:val="hybridMultilevel"/>
    <w:tmpl w:val="A246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21E4F"/>
    <w:multiLevelType w:val="multilevel"/>
    <w:tmpl w:val="F66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3222AA"/>
    <w:multiLevelType w:val="multilevel"/>
    <w:tmpl w:val="6A024B5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8695B1D"/>
    <w:multiLevelType w:val="multilevel"/>
    <w:tmpl w:val="6CA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E5207E"/>
    <w:multiLevelType w:val="multilevel"/>
    <w:tmpl w:val="730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E64D91"/>
    <w:multiLevelType w:val="hybridMultilevel"/>
    <w:tmpl w:val="CF70B4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753938"/>
    <w:multiLevelType w:val="hybridMultilevel"/>
    <w:tmpl w:val="AF7A7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3819DD"/>
    <w:multiLevelType w:val="hybridMultilevel"/>
    <w:tmpl w:val="F6360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21"/>
  </w:num>
  <w:num w:numId="4">
    <w:abstractNumId w:val="20"/>
  </w:num>
  <w:num w:numId="5">
    <w:abstractNumId w:val="18"/>
  </w:num>
  <w:num w:numId="6">
    <w:abstractNumId w:val="5"/>
  </w:num>
  <w:num w:numId="7">
    <w:abstractNumId w:val="3"/>
  </w:num>
  <w:num w:numId="8">
    <w:abstractNumId w:val="15"/>
  </w:num>
  <w:num w:numId="9">
    <w:abstractNumId w:val="30"/>
  </w:num>
  <w:num w:numId="10">
    <w:abstractNumId w:val="23"/>
  </w:num>
  <w:num w:numId="11">
    <w:abstractNumId w:val="28"/>
  </w:num>
  <w:num w:numId="12">
    <w:abstractNumId w:val="11"/>
  </w:num>
  <w:num w:numId="13">
    <w:abstractNumId w:val="1"/>
  </w:num>
  <w:num w:numId="14">
    <w:abstractNumId w:val="16"/>
  </w:num>
  <w:num w:numId="15">
    <w:abstractNumId w:val="14"/>
  </w:num>
  <w:num w:numId="16">
    <w:abstractNumId w:val="29"/>
  </w:num>
  <w:num w:numId="17">
    <w:abstractNumId w:val="25"/>
  </w:num>
  <w:num w:numId="18">
    <w:abstractNumId w:val="4"/>
  </w:num>
  <w:num w:numId="19">
    <w:abstractNumId w:val="24"/>
  </w:num>
  <w:num w:numId="20">
    <w:abstractNumId w:val="10"/>
  </w:num>
  <w:num w:numId="21">
    <w:abstractNumId w:val="9"/>
  </w:num>
  <w:num w:numId="22">
    <w:abstractNumId w:val="7"/>
  </w:num>
  <w:num w:numId="23">
    <w:abstractNumId w:val="2"/>
  </w:num>
  <w:num w:numId="24">
    <w:abstractNumId w:val="17"/>
  </w:num>
  <w:num w:numId="25">
    <w:abstractNumId w:val="13"/>
  </w:num>
  <w:num w:numId="26">
    <w:abstractNumId w:val="22"/>
  </w:num>
  <w:num w:numId="27">
    <w:abstractNumId w:val="27"/>
  </w:num>
  <w:num w:numId="28">
    <w:abstractNumId w:val="8"/>
  </w:num>
  <w:num w:numId="29">
    <w:abstractNumId w:val="26"/>
  </w:num>
  <w:num w:numId="30">
    <w:abstractNumId w:val="12"/>
  </w:num>
  <w:num w:numId="3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 w:name="RelatedRecord" w:val=" "/>
    <w:docVar w:name="Task" w:val="Ready to Save current document into TRIM."/>
    <w:docVar w:name="TRIMedDoc" w:val="TRIMedyes"/>
    <w:docVar w:name="TRIMedDocumentNo" w:val="D10682986"/>
    <w:docVar w:name="TRIMError" w:val="RecordAccessUpdate"/>
    <w:docVar w:name="UserMessageWindow" w:val="Click 'Save Document to TRIM' button....._x000d_"/>
  </w:docVars>
  <w:rsids>
    <w:rsidRoot w:val="00035841"/>
    <w:rsid w:val="0000286B"/>
    <w:rsid w:val="00015E89"/>
    <w:rsid w:val="00016E16"/>
    <w:rsid w:val="00035841"/>
    <w:rsid w:val="00035CAB"/>
    <w:rsid w:val="00041DCF"/>
    <w:rsid w:val="00042236"/>
    <w:rsid w:val="00046998"/>
    <w:rsid w:val="00057070"/>
    <w:rsid w:val="00057F1D"/>
    <w:rsid w:val="00083995"/>
    <w:rsid w:val="000910A4"/>
    <w:rsid w:val="00094D99"/>
    <w:rsid w:val="000B0037"/>
    <w:rsid w:val="000B4022"/>
    <w:rsid w:val="000D08A5"/>
    <w:rsid w:val="000D1CE9"/>
    <w:rsid w:val="000D7183"/>
    <w:rsid w:val="000E045F"/>
    <w:rsid w:val="000E0F23"/>
    <w:rsid w:val="000E477E"/>
    <w:rsid w:val="000E61BF"/>
    <w:rsid w:val="000F4CC6"/>
    <w:rsid w:val="000F581F"/>
    <w:rsid w:val="000F6462"/>
    <w:rsid w:val="00111B32"/>
    <w:rsid w:val="00112123"/>
    <w:rsid w:val="001230B3"/>
    <w:rsid w:val="00125C61"/>
    <w:rsid w:val="00132236"/>
    <w:rsid w:val="001333E6"/>
    <w:rsid w:val="0015675E"/>
    <w:rsid w:val="0016189F"/>
    <w:rsid w:val="00167169"/>
    <w:rsid w:val="001A16D5"/>
    <w:rsid w:val="001A225E"/>
    <w:rsid w:val="001A6302"/>
    <w:rsid w:val="001C28AD"/>
    <w:rsid w:val="001C5115"/>
    <w:rsid w:val="001F12E0"/>
    <w:rsid w:val="00215A6F"/>
    <w:rsid w:val="00217F34"/>
    <w:rsid w:val="002331EE"/>
    <w:rsid w:val="00241430"/>
    <w:rsid w:val="00255BA4"/>
    <w:rsid w:val="002567E9"/>
    <w:rsid w:val="00264C91"/>
    <w:rsid w:val="00291287"/>
    <w:rsid w:val="002951D5"/>
    <w:rsid w:val="002D3CF7"/>
    <w:rsid w:val="002D6387"/>
    <w:rsid w:val="002E5BE0"/>
    <w:rsid w:val="002F55EA"/>
    <w:rsid w:val="002F72F0"/>
    <w:rsid w:val="00303470"/>
    <w:rsid w:val="00312E01"/>
    <w:rsid w:val="003409A9"/>
    <w:rsid w:val="0036331B"/>
    <w:rsid w:val="003731A5"/>
    <w:rsid w:val="00376B2C"/>
    <w:rsid w:val="00380E6D"/>
    <w:rsid w:val="00385918"/>
    <w:rsid w:val="003A16F2"/>
    <w:rsid w:val="003A5502"/>
    <w:rsid w:val="003B13B0"/>
    <w:rsid w:val="003B2CB7"/>
    <w:rsid w:val="003C7115"/>
    <w:rsid w:val="003D58B2"/>
    <w:rsid w:val="003D6B4C"/>
    <w:rsid w:val="003F1F9B"/>
    <w:rsid w:val="00400B00"/>
    <w:rsid w:val="004036FD"/>
    <w:rsid w:val="004121B8"/>
    <w:rsid w:val="00416663"/>
    <w:rsid w:val="00456E59"/>
    <w:rsid w:val="00467E45"/>
    <w:rsid w:val="0047093E"/>
    <w:rsid w:val="00471CEA"/>
    <w:rsid w:val="0047210F"/>
    <w:rsid w:val="00483878"/>
    <w:rsid w:val="00491184"/>
    <w:rsid w:val="00493096"/>
    <w:rsid w:val="00493E71"/>
    <w:rsid w:val="004947B1"/>
    <w:rsid w:val="004B3F24"/>
    <w:rsid w:val="004B407E"/>
    <w:rsid w:val="004C095E"/>
    <w:rsid w:val="004C2E4C"/>
    <w:rsid w:val="004C4688"/>
    <w:rsid w:val="00501604"/>
    <w:rsid w:val="005059B2"/>
    <w:rsid w:val="005150FE"/>
    <w:rsid w:val="005152BA"/>
    <w:rsid w:val="00551CAC"/>
    <w:rsid w:val="00566FB6"/>
    <w:rsid w:val="00572921"/>
    <w:rsid w:val="00582D1B"/>
    <w:rsid w:val="00587F92"/>
    <w:rsid w:val="005C5DDE"/>
    <w:rsid w:val="005F02E4"/>
    <w:rsid w:val="005F2582"/>
    <w:rsid w:val="005F4F6C"/>
    <w:rsid w:val="006004DA"/>
    <w:rsid w:val="00612B19"/>
    <w:rsid w:val="00612B48"/>
    <w:rsid w:val="00613700"/>
    <w:rsid w:val="006166E8"/>
    <w:rsid w:val="006534CE"/>
    <w:rsid w:val="0067182F"/>
    <w:rsid w:val="00684249"/>
    <w:rsid w:val="00687208"/>
    <w:rsid w:val="0069521A"/>
    <w:rsid w:val="006968C1"/>
    <w:rsid w:val="006B16EF"/>
    <w:rsid w:val="006C6F1C"/>
    <w:rsid w:val="006D40E6"/>
    <w:rsid w:val="006D456E"/>
    <w:rsid w:val="006D7440"/>
    <w:rsid w:val="006E5492"/>
    <w:rsid w:val="006E6B61"/>
    <w:rsid w:val="006F24C7"/>
    <w:rsid w:val="00705815"/>
    <w:rsid w:val="007226D1"/>
    <w:rsid w:val="00735F1B"/>
    <w:rsid w:val="00736F17"/>
    <w:rsid w:val="00782256"/>
    <w:rsid w:val="0078525E"/>
    <w:rsid w:val="007940E5"/>
    <w:rsid w:val="007A2F16"/>
    <w:rsid w:val="007A35DA"/>
    <w:rsid w:val="007B6EED"/>
    <w:rsid w:val="007D1926"/>
    <w:rsid w:val="007D3D38"/>
    <w:rsid w:val="007E5C31"/>
    <w:rsid w:val="007E7F47"/>
    <w:rsid w:val="00804249"/>
    <w:rsid w:val="008126F5"/>
    <w:rsid w:val="00813E1B"/>
    <w:rsid w:val="008567C8"/>
    <w:rsid w:val="0087274D"/>
    <w:rsid w:val="00872DDB"/>
    <w:rsid w:val="00884891"/>
    <w:rsid w:val="008852A5"/>
    <w:rsid w:val="00894EB8"/>
    <w:rsid w:val="008A180D"/>
    <w:rsid w:val="008A48FD"/>
    <w:rsid w:val="008B2044"/>
    <w:rsid w:val="008B5891"/>
    <w:rsid w:val="008D21FF"/>
    <w:rsid w:val="008E6B63"/>
    <w:rsid w:val="008F7C2A"/>
    <w:rsid w:val="009004F9"/>
    <w:rsid w:val="00901286"/>
    <w:rsid w:val="00902539"/>
    <w:rsid w:val="009047F6"/>
    <w:rsid w:val="00915B44"/>
    <w:rsid w:val="0092508F"/>
    <w:rsid w:val="00975188"/>
    <w:rsid w:val="00987B30"/>
    <w:rsid w:val="009A4AB8"/>
    <w:rsid w:val="009A6F2C"/>
    <w:rsid w:val="009C3D13"/>
    <w:rsid w:val="009D1CCD"/>
    <w:rsid w:val="009D7B16"/>
    <w:rsid w:val="009F5B69"/>
    <w:rsid w:val="009F7C3A"/>
    <w:rsid w:val="00A10418"/>
    <w:rsid w:val="00A270C3"/>
    <w:rsid w:val="00A471D5"/>
    <w:rsid w:val="00A50DB0"/>
    <w:rsid w:val="00A60752"/>
    <w:rsid w:val="00A64771"/>
    <w:rsid w:val="00A650A1"/>
    <w:rsid w:val="00A719AF"/>
    <w:rsid w:val="00A8485D"/>
    <w:rsid w:val="00A87295"/>
    <w:rsid w:val="00A96FF7"/>
    <w:rsid w:val="00AA393B"/>
    <w:rsid w:val="00AB36DB"/>
    <w:rsid w:val="00AB4282"/>
    <w:rsid w:val="00B01190"/>
    <w:rsid w:val="00B05956"/>
    <w:rsid w:val="00B112DD"/>
    <w:rsid w:val="00B34819"/>
    <w:rsid w:val="00B43D37"/>
    <w:rsid w:val="00B7207F"/>
    <w:rsid w:val="00B82A1C"/>
    <w:rsid w:val="00BA49E2"/>
    <w:rsid w:val="00BB3914"/>
    <w:rsid w:val="00BF26AC"/>
    <w:rsid w:val="00BF2FF5"/>
    <w:rsid w:val="00BF3AC1"/>
    <w:rsid w:val="00BF6408"/>
    <w:rsid w:val="00C11F69"/>
    <w:rsid w:val="00C14974"/>
    <w:rsid w:val="00C20221"/>
    <w:rsid w:val="00C37717"/>
    <w:rsid w:val="00C42961"/>
    <w:rsid w:val="00C51B5E"/>
    <w:rsid w:val="00C5254E"/>
    <w:rsid w:val="00C52980"/>
    <w:rsid w:val="00C56868"/>
    <w:rsid w:val="00C6329F"/>
    <w:rsid w:val="00C63A2F"/>
    <w:rsid w:val="00C674DB"/>
    <w:rsid w:val="00C94387"/>
    <w:rsid w:val="00CA0B46"/>
    <w:rsid w:val="00CA4064"/>
    <w:rsid w:val="00CA6E7B"/>
    <w:rsid w:val="00CB4D88"/>
    <w:rsid w:val="00CC3C6A"/>
    <w:rsid w:val="00CE4A48"/>
    <w:rsid w:val="00CE5E2C"/>
    <w:rsid w:val="00CE7752"/>
    <w:rsid w:val="00CF4F24"/>
    <w:rsid w:val="00CF7015"/>
    <w:rsid w:val="00D020D3"/>
    <w:rsid w:val="00D40483"/>
    <w:rsid w:val="00D43512"/>
    <w:rsid w:val="00D43D92"/>
    <w:rsid w:val="00D507C0"/>
    <w:rsid w:val="00D60853"/>
    <w:rsid w:val="00D60C4C"/>
    <w:rsid w:val="00D75452"/>
    <w:rsid w:val="00D92B16"/>
    <w:rsid w:val="00DA57D7"/>
    <w:rsid w:val="00DA7D71"/>
    <w:rsid w:val="00DC04F3"/>
    <w:rsid w:val="00DC7CFE"/>
    <w:rsid w:val="00DD3B7A"/>
    <w:rsid w:val="00DF6757"/>
    <w:rsid w:val="00E219DB"/>
    <w:rsid w:val="00E43F12"/>
    <w:rsid w:val="00E50373"/>
    <w:rsid w:val="00E557A5"/>
    <w:rsid w:val="00E710A9"/>
    <w:rsid w:val="00E803A4"/>
    <w:rsid w:val="00E820D7"/>
    <w:rsid w:val="00E860DF"/>
    <w:rsid w:val="00E9250E"/>
    <w:rsid w:val="00ED4025"/>
    <w:rsid w:val="00EE1C55"/>
    <w:rsid w:val="00F10C8C"/>
    <w:rsid w:val="00F130D5"/>
    <w:rsid w:val="00F13E1C"/>
    <w:rsid w:val="00F3044C"/>
    <w:rsid w:val="00F4587D"/>
    <w:rsid w:val="00F62AFD"/>
    <w:rsid w:val="00F80E44"/>
    <w:rsid w:val="00F911C9"/>
    <w:rsid w:val="00F95692"/>
    <w:rsid w:val="00FA432E"/>
    <w:rsid w:val="00FB3FC3"/>
    <w:rsid w:val="00FC0427"/>
    <w:rsid w:val="00FC0826"/>
    <w:rsid w:val="00FC4A85"/>
    <w:rsid w:val="00FE7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6D4B7"/>
  <w14:discardImageEditingData/>
  <w15:chartTrackingRefBased/>
  <w15:docId w15:val="{B316BCCC-A72A-4CD6-AFA9-08EFE70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5841"/>
    <w:pPr>
      <w:spacing w:after="160" w:line="259" w:lineRule="auto"/>
      <w:ind w:left="0" w:firstLine="0"/>
    </w:pPr>
    <w:rPr>
      <w:rFonts w:asciiTheme="minorHAnsi" w:eastAsiaTheme="minorHAnsi" w:hAnsiTheme="minorHAnsi" w:cstheme="minorBidi"/>
      <w:lang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uiPriority w:val="99"/>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table" w:customStyle="1" w:styleId="ProjectTable">
    <w:name w:val="Project Table"/>
    <w:basedOn w:val="TableNormal"/>
    <w:uiPriority w:val="99"/>
    <w:rsid w:val="00035841"/>
    <w:pPr>
      <w:spacing w:before="120"/>
      <w:ind w:left="0" w:firstLine="0"/>
    </w:pPr>
    <w:rPr>
      <w:rFonts w:asciiTheme="minorHAnsi" w:hAnsiTheme="minorHAnsi" w:cstheme="minorBidi"/>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character" w:styleId="PlaceholderText">
    <w:name w:val="Placeholder Text"/>
    <w:basedOn w:val="DefaultParagraphFont"/>
    <w:uiPriority w:val="99"/>
    <w:semiHidden/>
    <w:rsid w:val="00035841"/>
    <w:rPr>
      <w:color w:val="808080"/>
    </w:rPr>
  </w:style>
  <w:style w:type="paragraph" w:styleId="NoSpacing">
    <w:name w:val="No Spacing"/>
    <w:uiPriority w:val="1"/>
    <w:qFormat/>
    <w:rsid w:val="00035841"/>
    <w:pPr>
      <w:spacing w:after="0"/>
      <w:ind w:left="0" w:firstLine="0"/>
    </w:pPr>
    <w:rPr>
      <w:rFonts w:asciiTheme="minorHAnsi" w:eastAsiaTheme="minorHAnsi" w:hAnsiTheme="minorHAnsi" w:cstheme="minorBidi"/>
      <w:lang w:eastAsia="en-US"/>
    </w:rPr>
  </w:style>
  <w:style w:type="table" w:customStyle="1" w:styleId="DPETable">
    <w:name w:val="DPE Table"/>
    <w:basedOn w:val="TableNormal"/>
    <w:uiPriority w:val="99"/>
    <w:rsid w:val="00035841"/>
    <w:pPr>
      <w:spacing w:after="0" w:line="264" w:lineRule="auto"/>
      <w:ind w:left="0" w:firstLine="0"/>
    </w:pPr>
    <w:rPr>
      <w:rFonts w:asciiTheme="minorHAnsi" w:eastAsiaTheme="minorEastAsia" w:hAnsiTheme="minorHAnsi" w:cstheme="minorBidi"/>
      <w:color w:val="000000" w:themeColor="text1"/>
      <w:sz w:val="18"/>
      <w:szCs w:val="18"/>
      <w:lang w:val="en-GB" w:eastAsia="zh-CN"/>
    </w:rPr>
    <w:tblPr>
      <w:tblInd w:w="680" w:type="dxa"/>
      <w:tblBorders>
        <w:bottom w:val="single" w:sz="2" w:space="0" w:color="FDE9D9" w:themeColor="accent6" w:themeTint="33"/>
        <w:insideH w:val="single" w:sz="2" w:space="0" w:color="FDE9D9" w:themeColor="accent6" w:themeTint="33"/>
      </w:tblBorders>
      <w:tblCellMar>
        <w:top w:w="113" w:type="dxa"/>
        <w:bottom w:w="57" w:type="dxa"/>
      </w:tblCellMar>
    </w:tblPr>
    <w:tblStylePr w:type="firstRow">
      <w:pPr>
        <w:jc w:val="left"/>
      </w:pPr>
      <w:rPr>
        <w:b/>
        <w:color w:val="1F497D" w:themeColor="text2"/>
      </w:rPr>
      <w:tblPr/>
      <w:tcPr>
        <w:tcBorders>
          <w:bottom w:val="single" w:sz="18" w:space="0" w:color="C0504D"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03584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035841"/>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uiPriority w:val="35"/>
    <w:unhideWhenUsed/>
    <w:qFormat/>
    <w:rsid w:val="00035841"/>
    <w:pPr>
      <w:spacing w:after="200" w:line="240" w:lineRule="auto"/>
    </w:pPr>
    <w:rPr>
      <w:i/>
      <w:iCs/>
      <w:color w:val="1F497D" w:themeColor="text2"/>
      <w:sz w:val="18"/>
      <w:szCs w:val="18"/>
    </w:rPr>
  </w:style>
  <w:style w:type="character" w:customStyle="1" w:styleId="HeaderChar">
    <w:name w:val="Header Char"/>
    <w:basedOn w:val="DefaultParagraphFont"/>
    <w:link w:val="Header"/>
    <w:uiPriority w:val="99"/>
    <w:rsid w:val="00035841"/>
  </w:style>
  <w:style w:type="character" w:customStyle="1" w:styleId="ListParagraphChar">
    <w:name w:val="List Paragraph Char"/>
    <w:link w:val="ListParagraph"/>
    <w:uiPriority w:val="34"/>
    <w:locked/>
    <w:rsid w:val="00035841"/>
    <w:rPr>
      <w:szCs w:val="24"/>
    </w:rPr>
  </w:style>
  <w:style w:type="character" w:customStyle="1" w:styleId="frag-no">
    <w:name w:val="frag-no"/>
    <w:basedOn w:val="DefaultParagraphFont"/>
    <w:rsid w:val="00035841"/>
  </w:style>
  <w:style w:type="character" w:customStyle="1" w:styleId="frag-heading">
    <w:name w:val="frag-heading"/>
    <w:basedOn w:val="DefaultParagraphFont"/>
    <w:rsid w:val="00035841"/>
  </w:style>
  <w:style w:type="paragraph" w:customStyle="1" w:styleId="Default">
    <w:name w:val="Default"/>
    <w:rsid w:val="00AB4282"/>
    <w:pPr>
      <w:autoSpaceDE w:val="0"/>
      <w:autoSpaceDN w:val="0"/>
      <w:adjustRightInd w:val="0"/>
      <w:spacing w:after="0"/>
      <w:ind w:left="0" w:firstLine="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7069">
      <w:bodyDiv w:val="1"/>
      <w:marLeft w:val="0"/>
      <w:marRight w:val="0"/>
      <w:marTop w:val="0"/>
      <w:marBottom w:val="0"/>
      <w:divBdr>
        <w:top w:val="none" w:sz="0" w:space="0" w:color="auto"/>
        <w:left w:val="none" w:sz="0" w:space="0" w:color="auto"/>
        <w:bottom w:val="none" w:sz="0" w:space="0" w:color="auto"/>
        <w:right w:val="none" w:sz="0" w:space="0" w:color="auto"/>
      </w:divBdr>
    </w:div>
    <w:div w:id="129323821">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748037389">
      <w:bodyDiv w:val="1"/>
      <w:marLeft w:val="0"/>
      <w:marRight w:val="0"/>
      <w:marTop w:val="0"/>
      <w:marBottom w:val="0"/>
      <w:divBdr>
        <w:top w:val="none" w:sz="0" w:space="0" w:color="auto"/>
        <w:left w:val="none" w:sz="0" w:space="0" w:color="auto"/>
        <w:bottom w:val="none" w:sz="0" w:space="0" w:color="auto"/>
        <w:right w:val="none" w:sz="0" w:space="0" w:color="auto"/>
      </w:divBdr>
    </w:div>
    <w:div w:id="1123384782">
      <w:bodyDiv w:val="1"/>
      <w:marLeft w:val="0"/>
      <w:marRight w:val="0"/>
      <w:marTop w:val="0"/>
      <w:marBottom w:val="0"/>
      <w:divBdr>
        <w:top w:val="none" w:sz="0" w:space="0" w:color="auto"/>
        <w:left w:val="none" w:sz="0" w:space="0" w:color="auto"/>
        <w:bottom w:val="none" w:sz="0" w:space="0" w:color="auto"/>
        <w:right w:val="none" w:sz="0" w:space="0" w:color="auto"/>
      </w:divBdr>
    </w:div>
    <w:div w:id="1261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DC346906744D3AEEDD34475E1D944"/>
        <w:category>
          <w:name w:val="General"/>
          <w:gallery w:val="placeholder"/>
        </w:category>
        <w:types>
          <w:type w:val="bbPlcHdr"/>
        </w:types>
        <w:behaviors>
          <w:behavior w:val="content"/>
        </w:behaviors>
        <w:guid w:val="{F37706EB-C5E3-4D69-8E9B-010CA7B8D8EF}"/>
      </w:docPartPr>
      <w:docPartBody>
        <w:p w:rsidR="003F78F0" w:rsidRDefault="00D36302" w:rsidP="00D36302">
          <w:pPr>
            <w:pStyle w:val="D36DC346906744D3AEEDD34475E1D944"/>
          </w:pPr>
          <w:r>
            <w:rPr>
              <w:rStyle w:val="PlaceholderText"/>
            </w:rPr>
            <w:t>Click here to enter a date.</w:t>
          </w:r>
        </w:p>
      </w:docPartBody>
    </w:docPart>
    <w:docPart>
      <w:docPartPr>
        <w:name w:val="3E2DE16798804DFA8E7F57B76E145FAF"/>
        <w:category>
          <w:name w:val="General"/>
          <w:gallery w:val="placeholder"/>
        </w:category>
        <w:types>
          <w:type w:val="bbPlcHdr"/>
        </w:types>
        <w:behaviors>
          <w:behavior w:val="content"/>
        </w:behaviors>
        <w:guid w:val="{0375431B-C530-430F-81BA-E93C725BBB9C}"/>
      </w:docPartPr>
      <w:docPartBody>
        <w:p w:rsidR="003F78F0" w:rsidRDefault="00D36302" w:rsidP="00D36302">
          <w:pPr>
            <w:pStyle w:val="3E2DE16798804DFA8E7F57B76E145FAF"/>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44"/>
    <w:rsid w:val="0015662C"/>
    <w:rsid w:val="001F343A"/>
    <w:rsid w:val="003F78F0"/>
    <w:rsid w:val="00595300"/>
    <w:rsid w:val="005B43D6"/>
    <w:rsid w:val="00643337"/>
    <w:rsid w:val="009D702F"/>
    <w:rsid w:val="00AA3144"/>
    <w:rsid w:val="00AA4C22"/>
    <w:rsid w:val="00C12FC2"/>
    <w:rsid w:val="00D36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302"/>
    <w:rPr>
      <w:color w:val="808080"/>
    </w:rPr>
  </w:style>
  <w:style w:type="paragraph" w:customStyle="1" w:styleId="5954CC83E36B41B8BCBEF94F45637AB7">
    <w:name w:val="5954CC83E36B41B8BCBEF94F45637AB7"/>
    <w:rsid w:val="00AA3144"/>
  </w:style>
  <w:style w:type="paragraph" w:customStyle="1" w:styleId="A1AD4D3463A842F5ABF3B2CDD8D44380">
    <w:name w:val="A1AD4D3463A842F5ABF3B2CDD8D44380"/>
    <w:rsid w:val="00AA3144"/>
  </w:style>
  <w:style w:type="paragraph" w:customStyle="1" w:styleId="89998175359941B29696529008A28924">
    <w:name w:val="89998175359941B29696529008A28924"/>
    <w:rsid w:val="00AA3144"/>
  </w:style>
  <w:style w:type="paragraph" w:customStyle="1" w:styleId="2A4971F5FD074EC5966D691ACBEFCE93">
    <w:name w:val="2A4971F5FD074EC5966D691ACBEFCE93"/>
    <w:rsid w:val="00AA3144"/>
  </w:style>
  <w:style w:type="paragraph" w:customStyle="1" w:styleId="733205DAC1E546BC976D2C707B182B94">
    <w:name w:val="733205DAC1E546BC976D2C707B182B94"/>
    <w:rsid w:val="00AA3144"/>
  </w:style>
  <w:style w:type="paragraph" w:customStyle="1" w:styleId="4F3C2B29D92A438792DD5E868DEE45A1">
    <w:name w:val="4F3C2B29D92A438792DD5E868DEE45A1"/>
    <w:rsid w:val="00AA3144"/>
  </w:style>
  <w:style w:type="paragraph" w:customStyle="1" w:styleId="94EBF154896742E08EFBC05273D57102">
    <w:name w:val="94EBF154896742E08EFBC05273D57102"/>
    <w:rsid w:val="00AA3144"/>
  </w:style>
  <w:style w:type="paragraph" w:customStyle="1" w:styleId="505AD87397664E8ABDD0824E349AC3CE">
    <w:name w:val="505AD87397664E8ABDD0824E349AC3CE"/>
    <w:rsid w:val="00AA3144"/>
  </w:style>
  <w:style w:type="paragraph" w:customStyle="1" w:styleId="350DEDF28CF548D19F7E419050C6B8BC">
    <w:name w:val="350DEDF28CF548D19F7E419050C6B8BC"/>
    <w:rsid w:val="00AA3144"/>
  </w:style>
  <w:style w:type="paragraph" w:customStyle="1" w:styleId="31EF5FA8F6B64168A130D39EF6597061">
    <w:name w:val="31EF5FA8F6B64168A130D39EF6597061"/>
    <w:rsid w:val="00AA3144"/>
  </w:style>
  <w:style w:type="paragraph" w:customStyle="1" w:styleId="B2DA75654F684A24955431205DA1815F">
    <w:name w:val="B2DA75654F684A24955431205DA1815F"/>
    <w:rsid w:val="00AA3144"/>
  </w:style>
  <w:style w:type="paragraph" w:customStyle="1" w:styleId="D425B865A21946EFA492B8F9E07D92EF">
    <w:name w:val="D425B865A21946EFA492B8F9E07D92EF"/>
    <w:rsid w:val="00AA3144"/>
  </w:style>
  <w:style w:type="paragraph" w:customStyle="1" w:styleId="6B9ADC060F874EC0A634724C14483BE0">
    <w:name w:val="6B9ADC060F874EC0A634724C14483BE0"/>
    <w:rsid w:val="00AA3144"/>
  </w:style>
  <w:style w:type="paragraph" w:customStyle="1" w:styleId="59CF45F494204C4AAC99C57AD3C4C537">
    <w:name w:val="59CF45F494204C4AAC99C57AD3C4C537"/>
    <w:rsid w:val="00D36302"/>
  </w:style>
  <w:style w:type="paragraph" w:customStyle="1" w:styleId="D36DC346906744D3AEEDD34475E1D944">
    <w:name w:val="D36DC346906744D3AEEDD34475E1D944"/>
    <w:rsid w:val="00D36302"/>
  </w:style>
  <w:style w:type="paragraph" w:customStyle="1" w:styleId="3CEACFB00B1C42A1832EA882A80537A0">
    <w:name w:val="3CEACFB00B1C42A1832EA882A80537A0"/>
    <w:rsid w:val="00D36302"/>
  </w:style>
  <w:style w:type="paragraph" w:customStyle="1" w:styleId="C604889383D74E17B66934FE987BB50D">
    <w:name w:val="C604889383D74E17B66934FE987BB50D"/>
    <w:rsid w:val="00D36302"/>
  </w:style>
  <w:style w:type="paragraph" w:customStyle="1" w:styleId="AC28DB06C630406DBF75831E1C5E06F1">
    <w:name w:val="AC28DB06C630406DBF75831E1C5E06F1"/>
    <w:rsid w:val="00D36302"/>
  </w:style>
  <w:style w:type="paragraph" w:customStyle="1" w:styleId="A055A8F89E2C4F808C130CCF3E535461">
    <w:name w:val="A055A8F89E2C4F808C130CCF3E535461"/>
    <w:rsid w:val="00D36302"/>
  </w:style>
  <w:style w:type="paragraph" w:customStyle="1" w:styleId="CA9061A790A94416BD6E7B80F309E427">
    <w:name w:val="CA9061A790A94416BD6E7B80F309E427"/>
    <w:rsid w:val="00D36302"/>
  </w:style>
  <w:style w:type="paragraph" w:customStyle="1" w:styleId="A90B19B41D07461DBF7E82F0FE3580BC">
    <w:name w:val="A90B19B41D07461DBF7E82F0FE3580BC"/>
    <w:rsid w:val="00D36302"/>
  </w:style>
  <w:style w:type="paragraph" w:customStyle="1" w:styleId="D436B7510FBD4ECBB9277DA982006BA7">
    <w:name w:val="D436B7510FBD4ECBB9277DA982006BA7"/>
    <w:rsid w:val="00D36302"/>
  </w:style>
  <w:style w:type="paragraph" w:customStyle="1" w:styleId="0100CFAA84164E9AB11527BDD3924D7C">
    <w:name w:val="0100CFAA84164E9AB11527BDD3924D7C"/>
    <w:rsid w:val="00D36302"/>
  </w:style>
  <w:style w:type="paragraph" w:customStyle="1" w:styleId="7B34E744EA1B4C138C3F200244549FEB">
    <w:name w:val="7B34E744EA1B4C138C3F200244549FEB"/>
    <w:rsid w:val="00D36302"/>
  </w:style>
  <w:style w:type="paragraph" w:customStyle="1" w:styleId="9B9D68A540564550975083CFBDDF63F5">
    <w:name w:val="9B9D68A540564550975083CFBDDF63F5"/>
    <w:rsid w:val="00D36302"/>
  </w:style>
  <w:style w:type="paragraph" w:customStyle="1" w:styleId="D0A19CDFAE504EB5B80B54BE098FA8BB">
    <w:name w:val="D0A19CDFAE504EB5B80B54BE098FA8BB"/>
    <w:rsid w:val="00D36302"/>
  </w:style>
  <w:style w:type="paragraph" w:customStyle="1" w:styleId="3E2DE16798804DFA8E7F57B76E145FAF">
    <w:name w:val="3E2DE16798804DFA8E7F57B76E145FAF"/>
    <w:rsid w:val="00D36302"/>
  </w:style>
  <w:style w:type="paragraph" w:customStyle="1" w:styleId="B090238AD7E04B37B6F2C357F27B792E">
    <w:name w:val="B090238AD7E04B37B6F2C357F27B792E"/>
    <w:rsid w:val="00D36302"/>
  </w:style>
  <w:style w:type="paragraph" w:customStyle="1" w:styleId="DB5737E2291545FD8449801976A854CC">
    <w:name w:val="DB5737E2291545FD8449801976A854CC"/>
    <w:rsid w:val="00D36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2745</Words>
  <Characters>15734</Characters>
  <Application>Microsoft Office Word</Application>
  <DocSecurity>0</DocSecurity>
  <Lines>476</Lines>
  <Paragraphs>288</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Glen Mathews</cp:lastModifiedBy>
  <cp:revision>4</cp:revision>
  <cp:lastPrinted>2020-01-17T05:21:00Z</cp:lastPrinted>
  <dcterms:created xsi:type="dcterms:W3CDTF">2023-05-25T11:57:00Z</dcterms:created>
  <dcterms:modified xsi:type="dcterms:W3CDTF">2023-05-29T04:18:00Z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D10682986</vt:lpwstr>
  </property>
</Properties>
</file>